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p>
    <w:p w:rsidR="00381C00" w:rsidRPr="00C9551B" w:rsidRDefault="00AD0893" w:rsidP="00C9551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Questions o</w:t>
      </w:r>
      <w:r w:rsidR="00381C00" w:rsidRPr="00C9551B">
        <w:rPr>
          <w:rFonts w:ascii="Times New Roman" w:hAnsi="Times New Roman" w:cs="Times New Roman"/>
          <w:color w:val="222222"/>
          <w:sz w:val="24"/>
          <w:szCs w:val="24"/>
          <w:shd w:val="clear" w:color="auto" w:fill="FFFFFF"/>
        </w:rPr>
        <w:t>n Nutrition</w:t>
      </w: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Name.</w:t>
      </w: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Institution.</w:t>
      </w:r>
    </w:p>
    <w:p w:rsidR="00381C00" w:rsidRPr="00C9551B" w:rsidRDefault="00381C00" w:rsidP="00C9551B">
      <w:pPr>
        <w:spacing w:line="480" w:lineRule="auto"/>
        <w:jc w:val="center"/>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Date.</w:t>
      </w:r>
    </w:p>
    <w:p w:rsidR="000D4E8B" w:rsidRDefault="000D4E8B" w:rsidP="00C9551B">
      <w:pPr>
        <w:spacing w:line="480" w:lineRule="auto"/>
        <w:jc w:val="center"/>
        <w:rPr>
          <w:rFonts w:ascii="Times New Roman" w:hAnsi="Times New Roman" w:cs="Times New Roman"/>
          <w:color w:val="222222"/>
          <w:sz w:val="24"/>
          <w:szCs w:val="24"/>
          <w:shd w:val="clear" w:color="auto" w:fill="FFFFFF"/>
        </w:rPr>
      </w:pPr>
    </w:p>
    <w:p w:rsidR="000D4E8B" w:rsidRDefault="000D4E8B" w:rsidP="00C9551B">
      <w:pPr>
        <w:spacing w:line="480" w:lineRule="auto"/>
        <w:jc w:val="center"/>
        <w:rPr>
          <w:rFonts w:ascii="Times New Roman" w:hAnsi="Times New Roman" w:cs="Times New Roman"/>
          <w:color w:val="222222"/>
          <w:sz w:val="24"/>
          <w:szCs w:val="24"/>
          <w:shd w:val="clear" w:color="auto" w:fill="FFFFFF"/>
        </w:rPr>
      </w:pPr>
    </w:p>
    <w:p w:rsidR="000D4E8B" w:rsidRDefault="000D4E8B" w:rsidP="00C9551B">
      <w:pPr>
        <w:spacing w:line="480" w:lineRule="auto"/>
        <w:jc w:val="center"/>
        <w:rPr>
          <w:rFonts w:ascii="Times New Roman" w:hAnsi="Times New Roman" w:cs="Times New Roman"/>
          <w:color w:val="222222"/>
          <w:sz w:val="24"/>
          <w:szCs w:val="24"/>
          <w:shd w:val="clear" w:color="auto" w:fill="FFFFFF"/>
        </w:rPr>
      </w:pPr>
    </w:p>
    <w:p w:rsidR="000D4E8B" w:rsidRDefault="000D4E8B" w:rsidP="00C9551B">
      <w:pPr>
        <w:spacing w:line="480" w:lineRule="auto"/>
        <w:jc w:val="center"/>
        <w:rPr>
          <w:rFonts w:ascii="Times New Roman" w:hAnsi="Times New Roman" w:cs="Times New Roman"/>
          <w:color w:val="222222"/>
          <w:sz w:val="24"/>
          <w:szCs w:val="24"/>
          <w:shd w:val="clear" w:color="auto" w:fill="FFFFFF"/>
        </w:rPr>
      </w:pPr>
    </w:p>
    <w:p w:rsidR="000D4E8B" w:rsidRDefault="000D4E8B" w:rsidP="00C9551B">
      <w:pPr>
        <w:spacing w:line="480" w:lineRule="auto"/>
        <w:jc w:val="center"/>
        <w:rPr>
          <w:rFonts w:ascii="Times New Roman" w:hAnsi="Times New Roman" w:cs="Times New Roman"/>
          <w:color w:val="222222"/>
          <w:sz w:val="24"/>
          <w:szCs w:val="24"/>
          <w:shd w:val="clear" w:color="auto" w:fill="FFFFFF"/>
        </w:rPr>
      </w:pPr>
    </w:p>
    <w:p w:rsidR="000D4E8B" w:rsidRDefault="000D4E8B" w:rsidP="00C9551B">
      <w:pPr>
        <w:spacing w:line="480" w:lineRule="auto"/>
        <w:jc w:val="center"/>
        <w:rPr>
          <w:rFonts w:ascii="Times New Roman" w:hAnsi="Times New Roman" w:cs="Times New Roman"/>
          <w:color w:val="222222"/>
          <w:sz w:val="24"/>
          <w:szCs w:val="24"/>
          <w:shd w:val="clear" w:color="auto" w:fill="FFFFFF"/>
        </w:rPr>
      </w:pPr>
    </w:p>
    <w:p w:rsidR="000D4E8B" w:rsidRDefault="000D4E8B" w:rsidP="00C9551B">
      <w:pPr>
        <w:spacing w:line="480" w:lineRule="auto"/>
        <w:jc w:val="center"/>
        <w:rPr>
          <w:rFonts w:ascii="Times New Roman" w:hAnsi="Times New Roman" w:cs="Times New Roman"/>
          <w:color w:val="222222"/>
          <w:sz w:val="24"/>
          <w:szCs w:val="24"/>
          <w:shd w:val="clear" w:color="auto" w:fill="FFFFFF"/>
        </w:rPr>
      </w:pPr>
    </w:p>
    <w:p w:rsidR="00C9551B" w:rsidRPr="000D4E8B" w:rsidRDefault="00381C00" w:rsidP="000D4E8B">
      <w:pPr>
        <w:spacing w:line="480" w:lineRule="auto"/>
        <w:jc w:val="center"/>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lastRenderedPageBreak/>
        <w:t xml:space="preserve">Questions </w:t>
      </w:r>
      <w:r w:rsidR="000D4E8B">
        <w:rPr>
          <w:rFonts w:ascii="Times New Roman" w:hAnsi="Times New Roman" w:cs="Times New Roman"/>
          <w:color w:val="222222"/>
          <w:sz w:val="24"/>
          <w:szCs w:val="24"/>
          <w:shd w:val="clear" w:color="auto" w:fill="FFFFFF"/>
        </w:rPr>
        <w:t>o</w:t>
      </w:r>
      <w:r w:rsidRPr="00C9551B">
        <w:rPr>
          <w:rFonts w:ascii="Times New Roman" w:hAnsi="Times New Roman" w:cs="Times New Roman"/>
          <w:color w:val="222222"/>
          <w:sz w:val="24"/>
          <w:szCs w:val="24"/>
          <w:shd w:val="clear" w:color="auto" w:fill="FFFFFF"/>
        </w:rPr>
        <w:t>n Nutrition</w:t>
      </w:r>
    </w:p>
    <w:p w:rsidR="00381C00" w:rsidRPr="00C9551B" w:rsidRDefault="00C9551B" w:rsidP="00C9551B">
      <w:pPr>
        <w:spacing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Week 2.</w:t>
      </w:r>
    </w:p>
    <w:p w:rsidR="00381C00" w:rsidRPr="000D4E8B" w:rsidRDefault="000D4E8B" w:rsidP="00C9551B">
      <w:pPr>
        <w:spacing w:line="480" w:lineRule="auto"/>
        <w:jc w:val="center"/>
        <w:rPr>
          <w:rFonts w:ascii="Times New Roman" w:hAnsi="Times New Roman" w:cs="Times New Roman"/>
          <w:b/>
          <w:color w:val="222222"/>
          <w:sz w:val="24"/>
          <w:szCs w:val="24"/>
          <w:shd w:val="clear" w:color="auto" w:fill="FFFFFF"/>
        </w:rPr>
      </w:pPr>
      <w:r w:rsidRPr="000D4E8B">
        <w:rPr>
          <w:rFonts w:ascii="Times New Roman" w:hAnsi="Times New Roman" w:cs="Times New Roman"/>
          <w:b/>
          <w:color w:val="222222"/>
          <w:sz w:val="24"/>
          <w:szCs w:val="24"/>
          <w:shd w:val="clear" w:color="auto" w:fill="FFFFFF"/>
        </w:rPr>
        <w:t>Question 1</w:t>
      </w:r>
    </w:p>
    <w:p w:rsidR="000D4E8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 xml:space="preserve">Body mass index (BMI) is a degree of body fat based on your weight in relation to your height. It is more applicable to men and women aged 20 years and above.  In relation to the provided data, Tanya’s BMI is 26.7. In relation with the rule-of-thumb, her total calorie requirement is (151×10) = 1510 kcal, amount which is slightly less than the actual amount of 1800 kcal as proposed in table 7.3 of the textbook (Dudek, 2010). The calorie level provided in table 7.3 is the most accurate in that it is established in relation with many related factors such as age, diet, weight and the estimated energy requirement. </w:t>
      </w:r>
    </w:p>
    <w:p w:rsidR="00381C00"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Tanya needs to cut 500 calories in her diet to lose 1 pound per week; thus she should eat about 3000 calories in a day. To lose 2 pounds per week, she needs to cut 1000 calories for her diet, and hence she will have to eat about 2500 calories. A 2-pound weight loss in a week is a reasonable goal which is achievable through lower calorie diet and regular physical activity</w:t>
      </w:r>
      <w:r w:rsidR="000D4E8B" w:rsidRPr="00C9551B">
        <w:rPr>
          <w:rFonts w:ascii="Times New Roman" w:hAnsi="Times New Roman" w:cs="Times New Roman"/>
          <w:color w:val="222222"/>
          <w:sz w:val="24"/>
          <w:szCs w:val="24"/>
          <w:shd w:val="clear" w:color="auto" w:fill="FFFFFF"/>
        </w:rPr>
        <w:t xml:space="preserve"> (Dudek, 2010).</w:t>
      </w:r>
      <w:r w:rsidRPr="00C9551B">
        <w:rPr>
          <w:rFonts w:ascii="Times New Roman" w:hAnsi="Times New Roman" w:cs="Times New Roman"/>
          <w:color w:val="222222"/>
          <w:sz w:val="24"/>
          <w:szCs w:val="24"/>
          <w:shd w:val="clear" w:color="auto" w:fill="FFFFFF"/>
        </w:rPr>
        <w:t xml:space="preserve"> She should consume more almond, hemp, soy, rice, or unsweetened coconut milk. She should eat more beans and legumes. She plant-based protein shakes and almond butter.</w:t>
      </w:r>
    </w:p>
    <w:p w:rsidR="000D4E8B" w:rsidRPr="00C9551B" w:rsidRDefault="000D4E8B" w:rsidP="000D4E8B">
      <w:pPr>
        <w:spacing w:line="480" w:lineRule="auto"/>
        <w:ind w:firstLine="720"/>
        <w:jc w:val="center"/>
        <w:rPr>
          <w:rFonts w:ascii="Times New Roman" w:hAnsi="Times New Roman" w:cs="Times New Roman"/>
          <w:color w:val="222222"/>
          <w:sz w:val="24"/>
          <w:szCs w:val="24"/>
          <w:shd w:val="clear" w:color="auto" w:fill="FFFFFF"/>
        </w:rPr>
      </w:pPr>
      <w:r w:rsidRPr="000D4E8B">
        <w:rPr>
          <w:rFonts w:ascii="Times New Roman" w:hAnsi="Times New Roman" w:cs="Times New Roman"/>
          <w:b/>
          <w:color w:val="222222"/>
          <w:sz w:val="24"/>
          <w:szCs w:val="24"/>
          <w:shd w:val="clear" w:color="auto" w:fill="FFFFFF"/>
        </w:rPr>
        <w:t xml:space="preserve">Question </w:t>
      </w:r>
      <w:r>
        <w:rPr>
          <w:rFonts w:ascii="Times New Roman" w:hAnsi="Times New Roman" w:cs="Times New Roman"/>
          <w:b/>
          <w:color w:val="222222"/>
          <w:sz w:val="24"/>
          <w:szCs w:val="24"/>
          <w:shd w:val="clear" w:color="auto" w:fill="FFFFFF"/>
        </w:rPr>
        <w:t>2.</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The difference between fat-soluble vitamins and water-soluble vitamin is that fat-soluble vitamins are absorbed in the small intestines, and they are stored in the liver and in fatty tissue</w:t>
      </w:r>
      <w:r w:rsidR="000D4E8B">
        <w:rPr>
          <w:rFonts w:ascii="Times New Roman" w:hAnsi="Times New Roman" w:cs="Times New Roman"/>
          <w:color w:val="222222"/>
          <w:sz w:val="24"/>
          <w:szCs w:val="24"/>
          <w:shd w:val="clear" w:color="auto" w:fill="FFFFFF"/>
        </w:rPr>
        <w:t xml:space="preserve">. Fat-soluble vitamins include; </w:t>
      </w:r>
      <w:r w:rsidRPr="00C9551B">
        <w:rPr>
          <w:rFonts w:ascii="Times New Roman" w:hAnsi="Times New Roman" w:cs="Times New Roman"/>
          <w:color w:val="222222"/>
          <w:sz w:val="24"/>
          <w:szCs w:val="24"/>
          <w:shd w:val="clear" w:color="auto" w:fill="FFFFFF"/>
        </w:rPr>
        <w:t xml:space="preserve">A, D, E and K (Khaksari et al., 2017). Increased consumption of these vitamins is dangerous in that they stay in the body longer leading to toxicity. Water-soluble </w:t>
      </w:r>
      <w:r w:rsidRPr="00C9551B">
        <w:rPr>
          <w:rFonts w:ascii="Times New Roman" w:hAnsi="Times New Roman" w:cs="Times New Roman"/>
          <w:color w:val="222222"/>
          <w:sz w:val="24"/>
          <w:szCs w:val="24"/>
          <w:shd w:val="clear" w:color="auto" w:fill="FFFFFF"/>
        </w:rPr>
        <w:lastRenderedPageBreak/>
        <w:t>vitamins include vitamins C and B. they are excreted more often than fat-soluble vitamins, and hence they need to be replaced more often.</w:t>
      </w:r>
    </w:p>
    <w:p w:rsidR="00381C00" w:rsidRPr="00C9551B" w:rsidRDefault="00381C00" w:rsidP="00C9551B">
      <w:pPr>
        <w:spacing w:line="480" w:lineRule="auto"/>
        <w:ind w:firstLine="720"/>
        <w:jc w:val="center"/>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Reference.</w:t>
      </w:r>
    </w:p>
    <w:p w:rsidR="00381C00" w:rsidRPr="00C9551B" w:rsidRDefault="00381C00" w:rsidP="00C9551B">
      <w:pPr>
        <w:spacing w:line="480" w:lineRule="auto"/>
        <w:ind w:left="720" w:hanging="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Dudek, S. G. (2010). Nutrition essentials for nursing practice. Wolters Kluwer Health.</w:t>
      </w:r>
    </w:p>
    <w:p w:rsidR="00381C00" w:rsidRPr="000D4E8B" w:rsidRDefault="00381C00" w:rsidP="000D4E8B">
      <w:pPr>
        <w:spacing w:line="480" w:lineRule="auto"/>
        <w:ind w:left="720" w:hanging="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Khaksari, M., Mazzoleni, L. R., Ruan, C., Kennedy, R. T., &amp; Minerick, A. R. (2017). Determination of water-soluble and fat-soluble vitamins in tears and blood serum of infants and parents by liquid chromatography/mass spectrometry. Experimental eye research, 155, 54-63.</w:t>
      </w:r>
    </w:p>
    <w:p w:rsidR="00381C00" w:rsidRDefault="00381C00" w:rsidP="00C9551B">
      <w:pPr>
        <w:spacing w:line="480" w:lineRule="auto"/>
        <w:ind w:firstLine="720"/>
        <w:jc w:val="center"/>
        <w:rPr>
          <w:rFonts w:ascii="Times New Roman" w:hAnsi="Times New Roman" w:cs="Times New Roman"/>
          <w:b/>
          <w:color w:val="222222"/>
          <w:sz w:val="24"/>
          <w:szCs w:val="24"/>
          <w:shd w:val="clear" w:color="auto" w:fill="FFFFFF"/>
        </w:rPr>
      </w:pPr>
      <w:r w:rsidRPr="00C9551B">
        <w:rPr>
          <w:rFonts w:ascii="Times New Roman" w:hAnsi="Times New Roman" w:cs="Times New Roman"/>
          <w:b/>
          <w:color w:val="222222"/>
          <w:sz w:val="24"/>
          <w:szCs w:val="24"/>
          <w:shd w:val="clear" w:color="auto" w:fill="FFFFFF"/>
        </w:rPr>
        <w:t>Week 3.</w:t>
      </w:r>
    </w:p>
    <w:p w:rsidR="00C9551B" w:rsidRPr="00C9551B" w:rsidRDefault="00C9551B" w:rsidP="00C9551B">
      <w:pPr>
        <w:spacing w:line="480" w:lineRule="auto"/>
        <w:ind w:firstLine="720"/>
        <w:jc w:val="center"/>
        <w:rPr>
          <w:rFonts w:ascii="Times New Roman" w:hAnsi="Times New Roman" w:cs="Times New Roman"/>
          <w:b/>
          <w:color w:val="222222"/>
          <w:sz w:val="24"/>
          <w:szCs w:val="24"/>
          <w:shd w:val="clear" w:color="auto" w:fill="FFFFFF"/>
        </w:rPr>
      </w:pPr>
      <w:r w:rsidRPr="00C9551B">
        <w:rPr>
          <w:rFonts w:ascii="Times New Roman" w:hAnsi="Times New Roman" w:cs="Times New Roman"/>
          <w:b/>
          <w:i/>
          <w:color w:val="222222"/>
          <w:sz w:val="24"/>
          <w:szCs w:val="24"/>
          <w:shd w:val="clear" w:color="auto" w:fill="FFFFFF"/>
        </w:rPr>
        <w:t>Question 1</w:t>
      </w:r>
      <w:r>
        <w:rPr>
          <w:rFonts w:ascii="Times New Roman" w:hAnsi="Times New Roman" w:cs="Times New Roman"/>
          <w:b/>
          <w:color w:val="222222"/>
          <w:sz w:val="24"/>
          <w:szCs w:val="24"/>
          <w:shd w:val="clear" w:color="auto" w:fill="FFFFFF"/>
        </w:rPr>
        <w:t>.</w:t>
      </w:r>
    </w:p>
    <w:p w:rsidR="00381C00" w:rsidRPr="00C9551B" w:rsidRDefault="00381C00" w:rsidP="00C9551B">
      <w:pPr>
        <w:spacing w:line="480" w:lineRule="auto"/>
        <w:ind w:left="720" w:hanging="720"/>
        <w:rPr>
          <w:rFonts w:ascii="Times New Roman" w:hAnsi="Times New Roman" w:cs="Times New Roman"/>
          <w:b/>
          <w:color w:val="222222"/>
          <w:sz w:val="24"/>
          <w:szCs w:val="24"/>
          <w:shd w:val="clear" w:color="auto" w:fill="FFFFFF"/>
        </w:rPr>
      </w:pPr>
      <w:r w:rsidRPr="00C9551B">
        <w:rPr>
          <w:rFonts w:ascii="Times New Roman" w:hAnsi="Times New Roman" w:cs="Times New Roman"/>
          <w:b/>
          <w:color w:val="222222"/>
          <w:sz w:val="24"/>
          <w:szCs w:val="24"/>
          <w:shd w:val="clear" w:color="auto" w:fill="FFFFFF"/>
        </w:rPr>
        <w:t>Arousell, J., &amp; Carlbom, A. (2016). Culture and religious beliefs in relation to reproductive health. Best Practice &amp; Research Clinical Obstetrics &amp; Gynaecology, 32, 77-87. https://ac.els-cdn.com/S1521693415001558/1-s2.0-S1521693415001558-main.pdf?_tid=fcaae6cc-0948-4ea0-b909-1bb524520a88&amp;acdnat=1535540969_b5cfb6d750328ce0f6d58f16c319eadd</w:t>
      </w:r>
    </w:p>
    <w:p w:rsidR="000D4E8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 xml:space="preserve">This article asserts that culture and religion on sexual and reproductive behavior influence health care utilization. It is argued that women with migration origin encounter reduced access to health care due to cultural and religious differences (Arousell &amp; Carlbom, 2016). The source also acknowledges the influence of religion on sexuality and religious behavior and healthcare utilization. It addresses that it is increasingly difficult to separate religions from sexuality and reproductive health matters. Reflectively, every religion and culture has its own </w:t>
      </w:r>
      <w:r w:rsidRPr="00C9551B">
        <w:rPr>
          <w:rFonts w:ascii="Times New Roman" w:hAnsi="Times New Roman" w:cs="Times New Roman"/>
          <w:color w:val="222222"/>
          <w:sz w:val="24"/>
          <w:szCs w:val="24"/>
          <w:shd w:val="clear" w:color="auto" w:fill="FFFFFF"/>
        </w:rPr>
        <w:lastRenderedPageBreak/>
        <w:t>assertions in regards to sexual and reproductive health care utilization. Both culture and religion propel conflicting idea</w:t>
      </w:r>
      <w:r w:rsidR="000D4E8B">
        <w:rPr>
          <w:rFonts w:ascii="Times New Roman" w:hAnsi="Times New Roman" w:cs="Times New Roman"/>
          <w:color w:val="222222"/>
          <w:sz w:val="24"/>
          <w:szCs w:val="24"/>
          <w:shd w:val="clear" w:color="auto" w:fill="FFFFFF"/>
        </w:rPr>
        <w:t>s</w:t>
      </w:r>
      <w:r w:rsidRPr="00C9551B">
        <w:rPr>
          <w:rFonts w:ascii="Times New Roman" w:hAnsi="Times New Roman" w:cs="Times New Roman"/>
          <w:color w:val="222222"/>
          <w:sz w:val="24"/>
          <w:szCs w:val="24"/>
          <w:shd w:val="clear" w:color="auto" w:fill="FFFFFF"/>
        </w:rPr>
        <w:t xml:space="preserve"> in the context of sexual and reproductive health affairs. The article provides an example with the Muslim religion which is found to have varied beliefs towards access to sexual and reproductive health in relation with the cultural responsibilities of women (Arousell &amp; Carlbom, 2016). </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 xml:space="preserve">To address this conflict, the article calls for increased awareness amid healthcare providers in regards to diversity of cultural and religious practices. The information garnered from this article provides a categorical understanding that cultural and religious diversities are significant barriers to the effective administration of health care services in healthcare settings. In addition to this, all healthcare providers should be enlightened on how to adhere to these diversities to </w:t>
      </w:r>
      <w:r w:rsidR="000D4E8B" w:rsidRPr="00C9551B">
        <w:rPr>
          <w:rFonts w:ascii="Times New Roman" w:hAnsi="Times New Roman" w:cs="Times New Roman"/>
          <w:color w:val="222222"/>
          <w:sz w:val="24"/>
          <w:szCs w:val="24"/>
          <w:shd w:val="clear" w:color="auto" w:fill="FFFFFF"/>
        </w:rPr>
        <w:t>enhance</w:t>
      </w:r>
      <w:r w:rsidRPr="00C9551B">
        <w:rPr>
          <w:rFonts w:ascii="Times New Roman" w:hAnsi="Times New Roman" w:cs="Times New Roman"/>
          <w:color w:val="222222"/>
          <w:sz w:val="24"/>
          <w:szCs w:val="24"/>
          <w:shd w:val="clear" w:color="auto" w:fill="FFFFFF"/>
        </w:rPr>
        <w:t xml:space="preserve"> the improved quality of car</w:t>
      </w:r>
      <w:r w:rsidR="000D4E8B">
        <w:rPr>
          <w:rFonts w:ascii="Times New Roman" w:hAnsi="Times New Roman" w:cs="Times New Roman"/>
          <w:color w:val="222222"/>
          <w:sz w:val="24"/>
          <w:szCs w:val="24"/>
          <w:shd w:val="clear" w:color="auto" w:fill="FFFFFF"/>
        </w:rPr>
        <w:t xml:space="preserve">e in all cultures and religions </w:t>
      </w:r>
      <w:r w:rsidR="000D4E8B" w:rsidRPr="00C9551B">
        <w:rPr>
          <w:rFonts w:ascii="Times New Roman" w:hAnsi="Times New Roman" w:cs="Times New Roman"/>
          <w:color w:val="222222"/>
          <w:sz w:val="24"/>
          <w:szCs w:val="24"/>
          <w:shd w:val="clear" w:color="auto" w:fill="FFFFFF"/>
        </w:rPr>
        <w:t>(Arousell &amp; Carlbom, 2016).</w:t>
      </w:r>
    </w:p>
    <w:p w:rsidR="00381C00" w:rsidRPr="00C9551B" w:rsidRDefault="00381C00" w:rsidP="00C9551B">
      <w:pPr>
        <w:spacing w:line="480" w:lineRule="auto"/>
        <w:ind w:firstLine="720"/>
        <w:jc w:val="center"/>
        <w:rPr>
          <w:rFonts w:ascii="Times New Roman" w:hAnsi="Times New Roman" w:cs="Times New Roman"/>
          <w:b/>
          <w:i/>
          <w:color w:val="222222"/>
          <w:sz w:val="24"/>
          <w:szCs w:val="24"/>
          <w:shd w:val="clear" w:color="auto" w:fill="FFFFFF"/>
        </w:rPr>
      </w:pPr>
      <w:r w:rsidRPr="00C9551B">
        <w:rPr>
          <w:rFonts w:ascii="Times New Roman" w:hAnsi="Times New Roman" w:cs="Times New Roman"/>
          <w:b/>
          <w:i/>
          <w:color w:val="222222"/>
          <w:sz w:val="24"/>
          <w:szCs w:val="24"/>
          <w:shd w:val="clear" w:color="auto" w:fill="FFFFFF"/>
        </w:rPr>
        <w:t>Question 2.</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Supplement regulation (dietary supplement) is a product taken by mouth containing ingredients intended to supplement the diet. These ingredients include minerals, vitamins amino acids and herbs. Below is an example of dietary supplementary.</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noProof/>
          <w:sz w:val="24"/>
          <w:szCs w:val="24"/>
        </w:rPr>
        <w:lastRenderedPageBreak/>
        <w:drawing>
          <wp:inline distT="0" distB="0" distL="0" distR="0">
            <wp:extent cx="5943600" cy="3343275"/>
            <wp:effectExtent l="0" t="0" r="0" b="9525"/>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381C00" w:rsidRPr="00C9551B" w:rsidRDefault="005C7501" w:rsidP="00C9551B">
      <w:pPr>
        <w:spacing w:line="480" w:lineRule="auto"/>
        <w:ind w:firstLine="720"/>
        <w:rPr>
          <w:rFonts w:ascii="Times New Roman" w:hAnsi="Times New Roman" w:cs="Times New Roman"/>
          <w:color w:val="222222"/>
          <w:sz w:val="24"/>
          <w:szCs w:val="24"/>
          <w:shd w:val="clear" w:color="auto" w:fill="FFFFFF"/>
        </w:rPr>
      </w:pPr>
      <w:hyperlink r:id="rId7" w:history="1">
        <w:r w:rsidR="00381C00" w:rsidRPr="00C9551B">
          <w:rPr>
            <w:rStyle w:val="Hyperlink"/>
            <w:rFonts w:ascii="Times New Roman" w:hAnsi="Times New Roman" w:cs="Times New Roman"/>
            <w:sz w:val="24"/>
            <w:szCs w:val="24"/>
            <w:shd w:val="clear" w:color="auto" w:fill="FFFFFF"/>
          </w:rPr>
          <w:t>https://www.google.com/url?sa=i&amp;rct=j&amp;q=&amp;esrc=s&amp;source=images&amp;cd=&amp;cad=rja&amp;uact=8&amp;ved=2ahUKEwinxvDrmJLdAhUMdysKHTQVC8MQjRx6BAgBEAU&amp;url=https%3A%2F%2Fwww.google.com%2Furl%3Fsa%3Di%26rct%3Dj%26q%3D%26esrc%3Ds%26source%3Dimages%26cd%3D%26cad%3Drja%26uact%3D8%26ved%3D2ahUKEwinxvDrmJLdAhUMdysKHTQVC8MQjRx6BAgBEAU%26url%3Dhttps%253A%252F%252Fwww.theatlantic.com%252Fhealth%252Farchive%252F2016%252F06%252Fsupplements-make-tobacco-look-easy%252F488798%252F%26psig%3DAOvVaw1v1gsOouIvxMLmXFKCDdCr%26ust%3D1535629195236644&amp;psig=AOvVaw1v1gsOouIvxMLmXFKCDdCr&amp;ust=1535629195236644</w:t>
        </w:r>
      </w:hyperlink>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 xml:space="preserve">The patient should understand that just as the label states, the tripped fuel is a metabolism booster that gives the body a stronger functioning. The patient should clearly be conversant with the identity of the package to avoid confusion with other supplement imitations. The most appropriate supplement regulation is that it should be the medicine should be stored out of the reach of children and use it per the instructions of the fitness trainer. The patient should </w:t>
      </w:r>
      <w:r w:rsidRPr="00C9551B">
        <w:rPr>
          <w:rFonts w:ascii="Times New Roman" w:hAnsi="Times New Roman" w:cs="Times New Roman"/>
          <w:color w:val="222222"/>
          <w:sz w:val="24"/>
          <w:szCs w:val="24"/>
          <w:shd w:val="clear" w:color="auto" w:fill="FFFFFF"/>
        </w:rPr>
        <w:lastRenderedPageBreak/>
        <w:t xml:space="preserve">understand that the ripped fuel dietary supplement is for males only and that it should not be </w:t>
      </w:r>
      <w:r w:rsidR="000D4E8B" w:rsidRPr="00C9551B">
        <w:rPr>
          <w:rFonts w:ascii="Times New Roman" w:hAnsi="Times New Roman" w:cs="Times New Roman"/>
          <w:color w:val="222222"/>
          <w:sz w:val="24"/>
          <w:szCs w:val="24"/>
          <w:shd w:val="clear" w:color="auto" w:fill="FFFFFF"/>
        </w:rPr>
        <w:t>consumed</w:t>
      </w:r>
      <w:r w:rsidRPr="00C9551B">
        <w:rPr>
          <w:rFonts w:ascii="Times New Roman" w:hAnsi="Times New Roman" w:cs="Times New Roman"/>
          <w:color w:val="222222"/>
          <w:sz w:val="24"/>
          <w:szCs w:val="24"/>
          <w:shd w:val="clear" w:color="auto" w:fill="FFFFFF"/>
        </w:rPr>
        <w:t xml:space="preserve"> by patients with high blood pressure, patients of diabetes and the he</w:t>
      </w:r>
      <w:r w:rsidR="000D4E8B">
        <w:rPr>
          <w:rFonts w:ascii="Times New Roman" w:hAnsi="Times New Roman" w:cs="Times New Roman"/>
          <w:color w:val="222222"/>
          <w:sz w:val="24"/>
          <w:szCs w:val="24"/>
          <w:shd w:val="clear" w:color="auto" w:fill="FFFFFF"/>
        </w:rPr>
        <w:t xml:space="preserve">art patients </w:t>
      </w:r>
      <w:r w:rsidR="000D4E8B" w:rsidRPr="00C9551B">
        <w:rPr>
          <w:rFonts w:ascii="Times New Roman" w:hAnsi="Times New Roman" w:cs="Times New Roman"/>
          <w:color w:val="222222"/>
          <w:sz w:val="24"/>
          <w:szCs w:val="24"/>
          <w:shd w:val="clear" w:color="auto" w:fill="FFFFFF"/>
        </w:rPr>
        <w:t>(Arousell &amp; Carlbom, 2016).</w:t>
      </w:r>
    </w:p>
    <w:p w:rsidR="00381C00" w:rsidRPr="00C9551B" w:rsidRDefault="00381C00" w:rsidP="00C9551B">
      <w:pPr>
        <w:spacing w:line="480" w:lineRule="auto"/>
        <w:ind w:firstLine="720"/>
        <w:jc w:val="center"/>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Reference.</w:t>
      </w:r>
    </w:p>
    <w:p w:rsidR="00381C00" w:rsidRPr="00C9551B" w:rsidRDefault="00381C00" w:rsidP="00C9551B">
      <w:pPr>
        <w:spacing w:line="480" w:lineRule="auto"/>
        <w:ind w:left="720" w:hanging="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Arousell, J., &amp; Carlbom, A. (2016). Culture and religious beliefs in relation to reproductive health. Best Practice &amp; Research Clinical Obstetrics &amp; Gynaecology, 32, 77-87. https://ac.els-cdn.com/S1521693415001558/1-s2.0-S1521693415001558-main.pdf?_tid=fcaae6cc-0948-4ea0-b909-1bb524520a88&amp;acdnat=1535540969_b5cfb6d750328ce0f6d58f16c319eadd</w:t>
      </w:r>
    </w:p>
    <w:p w:rsidR="00C9551B" w:rsidRDefault="00C9551B" w:rsidP="00C9551B">
      <w:pPr>
        <w:spacing w:line="480" w:lineRule="auto"/>
        <w:ind w:firstLine="720"/>
        <w:jc w:val="center"/>
        <w:rPr>
          <w:rFonts w:ascii="Times New Roman" w:hAnsi="Times New Roman" w:cs="Times New Roman"/>
          <w:b/>
          <w:color w:val="222222"/>
          <w:sz w:val="24"/>
          <w:szCs w:val="24"/>
          <w:shd w:val="clear" w:color="auto" w:fill="FFFFFF"/>
        </w:rPr>
      </w:pPr>
    </w:p>
    <w:p w:rsidR="00381C00" w:rsidRPr="00C9551B" w:rsidRDefault="00381C00" w:rsidP="00C9551B">
      <w:pPr>
        <w:spacing w:line="480" w:lineRule="auto"/>
        <w:ind w:firstLine="720"/>
        <w:jc w:val="center"/>
        <w:rPr>
          <w:rFonts w:ascii="Times New Roman" w:hAnsi="Times New Roman" w:cs="Times New Roman"/>
          <w:b/>
          <w:color w:val="222222"/>
          <w:sz w:val="24"/>
          <w:szCs w:val="24"/>
          <w:shd w:val="clear" w:color="auto" w:fill="FFFFFF"/>
        </w:rPr>
      </w:pPr>
      <w:r w:rsidRPr="00C9551B">
        <w:rPr>
          <w:rFonts w:ascii="Times New Roman" w:hAnsi="Times New Roman" w:cs="Times New Roman"/>
          <w:b/>
          <w:color w:val="222222"/>
          <w:sz w:val="24"/>
          <w:szCs w:val="24"/>
          <w:shd w:val="clear" w:color="auto" w:fill="FFFFFF"/>
        </w:rPr>
        <w:t>Week 4.</w:t>
      </w:r>
    </w:p>
    <w:p w:rsidR="00381C00" w:rsidRPr="00C9551B" w:rsidRDefault="00381C00" w:rsidP="00C9551B">
      <w:pPr>
        <w:spacing w:line="480" w:lineRule="auto"/>
        <w:ind w:firstLine="720"/>
        <w:jc w:val="center"/>
        <w:rPr>
          <w:rFonts w:ascii="Times New Roman" w:hAnsi="Times New Roman" w:cs="Times New Roman"/>
          <w:i/>
          <w:color w:val="222222"/>
          <w:sz w:val="24"/>
          <w:szCs w:val="24"/>
          <w:shd w:val="clear" w:color="auto" w:fill="FFFFFF"/>
        </w:rPr>
      </w:pPr>
      <w:r w:rsidRPr="00C9551B">
        <w:rPr>
          <w:rFonts w:ascii="Times New Roman" w:hAnsi="Times New Roman" w:cs="Times New Roman"/>
          <w:b/>
          <w:i/>
          <w:color w:val="222222"/>
          <w:sz w:val="24"/>
          <w:szCs w:val="24"/>
          <w:shd w:val="clear" w:color="auto" w:fill="FFFFFF"/>
        </w:rPr>
        <w:t>Question 1</w:t>
      </w:r>
      <w:r w:rsidRPr="00C9551B">
        <w:rPr>
          <w:rFonts w:ascii="Times New Roman" w:hAnsi="Times New Roman" w:cs="Times New Roman"/>
          <w:i/>
          <w:color w:val="222222"/>
          <w:sz w:val="24"/>
          <w:szCs w:val="24"/>
          <w:shd w:val="clear" w:color="auto" w:fill="FFFFFF"/>
        </w:rPr>
        <w:t>.</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 xml:space="preserve">It is widely evident that our bodies tend to change as we grow older. This implies that the senior citizens are likely to have a more discrete nutritional requirement than it is the case with teenagers, children as well as middle-aged adults. As age changes, it tends to influence the means in which the body processes food; a factor which again affects the dietary needs and appetite (Rao &amp; Ross, 2018). The most appropriate changes include; shrinking in muscle mass and decreased which begins at early 30’s and significantly reduced metabolism. These changes occur naturally, and they tend to become more pronounced when one does not have the required degree of appetite. Whenever metabolism slows down, the body is not able to burn calories as it would do in childhood. This again implies that senior citizens need to consume less to maintain their healthy weight. However, the </w:t>
      </w:r>
      <w:r w:rsidR="00640E95" w:rsidRPr="00C9551B">
        <w:rPr>
          <w:rFonts w:ascii="Times New Roman" w:hAnsi="Times New Roman" w:cs="Times New Roman"/>
          <w:color w:val="222222"/>
          <w:sz w:val="24"/>
          <w:szCs w:val="24"/>
          <w:shd w:val="clear" w:color="auto" w:fill="FFFFFF"/>
        </w:rPr>
        <w:t xml:space="preserve">levels of nutrients needs to remain the same and to some extent </w:t>
      </w:r>
      <w:r w:rsidR="00640E95" w:rsidRPr="00C9551B">
        <w:rPr>
          <w:rFonts w:ascii="Times New Roman" w:hAnsi="Times New Roman" w:cs="Times New Roman"/>
          <w:color w:val="222222"/>
          <w:sz w:val="24"/>
          <w:szCs w:val="24"/>
          <w:shd w:val="clear" w:color="auto" w:fill="FFFFFF"/>
        </w:rPr>
        <w:lastRenderedPageBreak/>
        <w:t>increase</w:t>
      </w:r>
      <w:r w:rsidRPr="00C9551B">
        <w:rPr>
          <w:rFonts w:ascii="Times New Roman" w:hAnsi="Times New Roman" w:cs="Times New Roman"/>
          <w:color w:val="222222"/>
          <w:sz w:val="24"/>
          <w:szCs w:val="24"/>
          <w:shd w:val="clear" w:color="auto" w:fill="FFFFFF"/>
        </w:rPr>
        <w:t>. In addition to this, as the digestive system of the senior citizen’s changes, the body begins to demand fewer fluids to allow food processing. Hence, seniors tend to have some complications in nutrient absorption unlike the case with a child.</w:t>
      </w:r>
    </w:p>
    <w:p w:rsidR="00381C00" w:rsidRPr="00C9551B" w:rsidRDefault="00381C00" w:rsidP="00C9551B">
      <w:pPr>
        <w:spacing w:line="480" w:lineRule="auto"/>
        <w:ind w:firstLine="720"/>
        <w:jc w:val="center"/>
        <w:rPr>
          <w:rFonts w:ascii="Times New Roman" w:hAnsi="Times New Roman" w:cs="Times New Roman"/>
          <w:b/>
          <w:i/>
          <w:color w:val="222222"/>
          <w:sz w:val="24"/>
          <w:szCs w:val="24"/>
          <w:shd w:val="clear" w:color="auto" w:fill="FFFFFF"/>
        </w:rPr>
      </w:pPr>
      <w:r w:rsidRPr="00C9551B">
        <w:rPr>
          <w:rFonts w:ascii="Times New Roman" w:hAnsi="Times New Roman" w:cs="Times New Roman"/>
          <w:b/>
          <w:i/>
          <w:color w:val="222222"/>
          <w:sz w:val="24"/>
          <w:szCs w:val="24"/>
          <w:shd w:val="clear" w:color="auto" w:fill="FFFFFF"/>
        </w:rPr>
        <w:t>Question 2.</w:t>
      </w:r>
    </w:p>
    <w:p w:rsidR="00381C00" w:rsidRPr="00C9551B" w:rsidRDefault="00381C00" w:rsidP="00C9551B">
      <w:pPr>
        <w:spacing w:line="480" w:lineRule="auto"/>
        <w:ind w:firstLine="720"/>
        <w:rPr>
          <w:rFonts w:ascii="Times New Roman" w:hAnsi="Times New Roman" w:cs="Times New Roman"/>
          <w:b/>
          <w:i/>
          <w:color w:val="222222"/>
          <w:sz w:val="24"/>
          <w:szCs w:val="24"/>
          <w:shd w:val="clear" w:color="auto" w:fill="FFFFFF"/>
        </w:rPr>
      </w:pPr>
      <w:r w:rsidRPr="00C9551B">
        <w:rPr>
          <w:rFonts w:ascii="Times New Roman" w:hAnsi="Times New Roman" w:cs="Times New Roman"/>
          <w:b/>
          <w:i/>
          <w:color w:val="222222"/>
          <w:sz w:val="24"/>
          <w:szCs w:val="24"/>
          <w:shd w:val="clear" w:color="auto" w:fill="FFFFFF"/>
        </w:rPr>
        <w:t>Category A</w:t>
      </w:r>
      <w:r w:rsidRPr="00C9551B">
        <w:rPr>
          <w:rFonts w:ascii="Times New Roman" w:hAnsi="Times New Roman" w:cs="Times New Roman"/>
          <w:color w:val="222222"/>
          <w:sz w:val="24"/>
          <w:szCs w:val="24"/>
          <w:shd w:val="clear" w:color="auto" w:fill="FFFFFF"/>
        </w:rPr>
        <w:t xml:space="preserve">: </w:t>
      </w:r>
      <w:r w:rsidRPr="00C9551B">
        <w:rPr>
          <w:rFonts w:ascii="Times New Roman" w:hAnsi="Times New Roman" w:cs="Times New Roman"/>
          <w:b/>
          <w:i/>
          <w:color w:val="222222"/>
          <w:sz w:val="24"/>
          <w:szCs w:val="24"/>
          <w:shd w:val="clear" w:color="auto" w:fill="FFFFFF"/>
        </w:rPr>
        <w:t>Evaluate her pre-pregnancy weight and weight gain thus far. How much total weight should she gain?</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 xml:space="preserve">In reflection to the American Pregnancy Association assertions, women should have regular weight gain before pregnancy, featured with a Body </w:t>
      </w:r>
      <w:r w:rsidR="00640E95">
        <w:rPr>
          <w:rFonts w:ascii="Times New Roman" w:hAnsi="Times New Roman" w:cs="Times New Roman"/>
          <w:color w:val="222222"/>
          <w:sz w:val="24"/>
          <w:szCs w:val="24"/>
          <w:shd w:val="clear" w:color="auto" w:fill="FFFFFF"/>
        </w:rPr>
        <w:t>Mass Index ranging from</w:t>
      </w:r>
      <w:r w:rsidR="00F31412">
        <w:rPr>
          <w:rFonts w:ascii="Times New Roman" w:hAnsi="Times New Roman" w:cs="Times New Roman"/>
          <w:color w:val="222222"/>
          <w:sz w:val="24"/>
          <w:szCs w:val="24"/>
          <w:shd w:val="clear" w:color="auto" w:fill="FFFFFF"/>
        </w:rPr>
        <w:t xml:space="preserve"> 18 to 24.9. I</w:t>
      </w:r>
      <w:r w:rsidRPr="00C9551B">
        <w:rPr>
          <w:rFonts w:ascii="Times New Roman" w:hAnsi="Times New Roman" w:cs="Times New Roman"/>
          <w:color w:val="222222"/>
          <w:sz w:val="24"/>
          <w:szCs w:val="24"/>
          <w:shd w:val="clear" w:color="auto" w:fill="FFFFFF"/>
        </w:rPr>
        <w:t>n this context, the recommended guideline for regular weight gain is between 25 to 35 pounds. Arguably, women are found to be underweight before pregnancy, and hence their BMI values are less than 18.5 and are expected to gain 28-40 lbs (Freeman et al., 2018). On the other hand, the overweighed women are expected to have BMI values that range</w:t>
      </w:r>
      <w:r w:rsidR="00640E95">
        <w:rPr>
          <w:rFonts w:ascii="Times New Roman" w:hAnsi="Times New Roman" w:cs="Times New Roman"/>
          <w:color w:val="222222"/>
          <w:sz w:val="24"/>
          <w:szCs w:val="24"/>
          <w:shd w:val="clear" w:color="auto" w:fill="FFFFFF"/>
        </w:rPr>
        <w:t xml:space="preserve"> from </w:t>
      </w:r>
      <w:r w:rsidRPr="00C9551B">
        <w:rPr>
          <w:rFonts w:ascii="Times New Roman" w:hAnsi="Times New Roman" w:cs="Times New Roman"/>
          <w:color w:val="222222"/>
          <w:sz w:val="24"/>
          <w:szCs w:val="24"/>
          <w:shd w:val="clear" w:color="auto" w:fill="FFFFFF"/>
        </w:rPr>
        <w:t>25 to 29 and are s</w:t>
      </w:r>
      <w:r w:rsidR="00F31412">
        <w:rPr>
          <w:rFonts w:ascii="Times New Roman" w:hAnsi="Times New Roman" w:cs="Times New Roman"/>
          <w:color w:val="222222"/>
          <w:sz w:val="24"/>
          <w:szCs w:val="24"/>
          <w:shd w:val="clear" w:color="auto" w:fill="FFFFFF"/>
        </w:rPr>
        <w:t>upposed to gain 15 to 25 lbs.  I</w:t>
      </w:r>
      <w:r w:rsidRPr="00C9551B">
        <w:rPr>
          <w:rFonts w:ascii="Times New Roman" w:hAnsi="Times New Roman" w:cs="Times New Roman"/>
          <w:color w:val="222222"/>
          <w:sz w:val="24"/>
          <w:szCs w:val="24"/>
          <w:shd w:val="clear" w:color="auto" w:fill="FFFFFF"/>
        </w:rPr>
        <w:t>n refection to the case study, Sarah had a BMI 23 during her pre-pregnancy, but she gained about 24 pounds abruptly.  In relation to the outlined guidelines, she is on the track of ending up gaining healthy weight. Remarkably, she is likely to acquire about eight more pounds to attain the total weight that a pregnant woman is expected to gain by the end of pregnancy; that is 32 pounds. This weight should be evenly distributed in the body in accordance with the guidelines estimate.</w:t>
      </w:r>
    </w:p>
    <w:p w:rsidR="00381C00" w:rsidRPr="00C9551B" w:rsidRDefault="00381C00" w:rsidP="00C9551B">
      <w:pPr>
        <w:spacing w:line="480" w:lineRule="auto"/>
        <w:ind w:firstLine="720"/>
        <w:jc w:val="center"/>
        <w:rPr>
          <w:rFonts w:ascii="Times New Roman" w:hAnsi="Times New Roman" w:cs="Times New Roman"/>
          <w:color w:val="222222"/>
          <w:sz w:val="24"/>
          <w:szCs w:val="24"/>
          <w:shd w:val="clear" w:color="auto" w:fill="FFFFFF"/>
        </w:rPr>
      </w:pPr>
      <w:r w:rsidRPr="00C9551B">
        <w:rPr>
          <w:rFonts w:ascii="Times New Roman" w:hAnsi="Times New Roman" w:cs="Times New Roman"/>
          <w:b/>
          <w:i/>
          <w:color w:val="222222"/>
          <w:sz w:val="24"/>
          <w:szCs w:val="24"/>
          <w:shd w:val="clear" w:color="auto" w:fill="FFFFFF"/>
        </w:rPr>
        <w:t>Category B</w:t>
      </w:r>
      <w:r w:rsidRPr="00C9551B">
        <w:rPr>
          <w:rFonts w:ascii="Times New Roman" w:hAnsi="Times New Roman" w:cs="Times New Roman"/>
          <w:color w:val="222222"/>
          <w:sz w:val="24"/>
          <w:szCs w:val="24"/>
          <w:shd w:val="clear" w:color="auto" w:fill="FFFFFF"/>
        </w:rPr>
        <w:t xml:space="preserve">:  </w:t>
      </w:r>
      <w:r w:rsidRPr="00C9551B">
        <w:rPr>
          <w:rFonts w:ascii="Times New Roman" w:hAnsi="Times New Roman" w:cs="Times New Roman"/>
          <w:b/>
          <w:i/>
          <w:color w:val="222222"/>
          <w:sz w:val="24"/>
          <w:szCs w:val="24"/>
          <w:shd w:val="clear" w:color="auto" w:fill="FFFFFF"/>
        </w:rPr>
        <w:t>What would you tell her about weight gain during pregnancy? What strategies would you suggest to her after her baby is born that would help her regain her healthy weight?</w:t>
      </w:r>
    </w:p>
    <w:p w:rsidR="00F31412"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lastRenderedPageBreak/>
        <w:t xml:space="preserve">I would tell her that it is important to ensure that she gains the exact amount of weight throughout the pregnancy period.  She should frequently see a physician to be checked for her weight gain.  When found underweight or overweight, the physician should find the most appropriate interventions for the diagnosed situation. Sarah should ensure that she takes the recommended diet during pregnancy. Arguably, a healthy meal is vital in that it would necessitate weight gain as well as enhancement of the appropriate nourishment of the baby (Freeman et al., 2018). </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Diet is mandatory in that the child tends to receive everything that is consumed by the mother. From another perspective, the mother is likely to lose some weight after birth resulting from the weight of the baby, the placenta, and the amniotic fluid. The weight of the extra fluids gained will also be lost in a few weeks’ time. However, the fat that was gained during pregnancy remains. In this setting, it is very advisable for the mother to endure acute diet control as well as necessary exercises that would allow the woman to regain her healthy weight.  She should take Mediterranean diets, weight watc</w:t>
      </w:r>
      <w:r w:rsidR="00F31412">
        <w:rPr>
          <w:rFonts w:ascii="Times New Roman" w:hAnsi="Times New Roman" w:cs="Times New Roman"/>
          <w:color w:val="222222"/>
          <w:sz w:val="24"/>
          <w:szCs w:val="24"/>
          <w:shd w:val="clear" w:color="auto" w:fill="FFFFFF"/>
        </w:rPr>
        <w:t>hers, and vegetarians diets. G</w:t>
      </w:r>
      <w:r w:rsidRPr="00C9551B">
        <w:rPr>
          <w:rFonts w:ascii="Times New Roman" w:hAnsi="Times New Roman" w:cs="Times New Roman"/>
          <w:color w:val="222222"/>
          <w:sz w:val="24"/>
          <w:szCs w:val="24"/>
          <w:shd w:val="clear" w:color="auto" w:fill="FFFFFF"/>
        </w:rPr>
        <w:t>ood exercise is also essent</w:t>
      </w:r>
      <w:r w:rsidR="00F31412">
        <w:rPr>
          <w:rFonts w:ascii="Times New Roman" w:hAnsi="Times New Roman" w:cs="Times New Roman"/>
          <w:color w:val="222222"/>
          <w:sz w:val="24"/>
          <w:szCs w:val="24"/>
          <w:shd w:val="clear" w:color="auto" w:fill="FFFFFF"/>
        </w:rPr>
        <w:t xml:space="preserve">ial for recommended weight loss </w:t>
      </w:r>
      <w:r w:rsidR="00F31412" w:rsidRPr="00C9551B">
        <w:rPr>
          <w:rFonts w:ascii="Times New Roman" w:hAnsi="Times New Roman" w:cs="Times New Roman"/>
          <w:color w:val="222222"/>
          <w:sz w:val="24"/>
          <w:szCs w:val="24"/>
          <w:shd w:val="clear" w:color="auto" w:fill="FFFFFF"/>
        </w:rPr>
        <w:t>(Freeman et al., 2018).</w:t>
      </w:r>
    </w:p>
    <w:p w:rsidR="00381C00" w:rsidRPr="00C9551B" w:rsidRDefault="00381C00" w:rsidP="00C9551B">
      <w:pPr>
        <w:spacing w:line="480" w:lineRule="auto"/>
        <w:ind w:firstLine="720"/>
        <w:jc w:val="center"/>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References.</w:t>
      </w:r>
    </w:p>
    <w:p w:rsidR="00381C00" w:rsidRPr="00C9551B" w:rsidRDefault="00381C00" w:rsidP="00C9551B">
      <w:pPr>
        <w:spacing w:line="480" w:lineRule="auto"/>
        <w:ind w:left="720" w:hanging="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Freeman, M. P., Sosinsky, A. Z., Goez-Mogollon, L., Savella, G. M., Moustafa, D., Viguera, A. C., &amp; Cohen, L. S. (2018). Gestational Weight Gain and Pre-Pregnancy Body Mass Index Associated with Second-Generation Antipsychotic Drug Use During Pregnancy. Psychosomatics, 59(2), 125-134.</w:t>
      </w:r>
    </w:p>
    <w:p w:rsidR="00381C00" w:rsidRPr="00C9551B" w:rsidRDefault="00381C00" w:rsidP="00C9551B">
      <w:pPr>
        <w:spacing w:line="480" w:lineRule="auto"/>
        <w:ind w:left="720" w:hanging="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lastRenderedPageBreak/>
        <w:t xml:space="preserve">Rao, A., &amp; Ross, C. L. (2018). Planning Healthy Communities: Abating Preventable Chronic Diseases. In Translating National Policy to Improve Environmental Conditions Impacting Public Health Through Community Planning (pp. 51-77). Springer, Cham. </w:t>
      </w:r>
    </w:p>
    <w:p w:rsidR="00381C00" w:rsidRPr="00C9551B" w:rsidRDefault="00381C00" w:rsidP="00C9551B">
      <w:pPr>
        <w:spacing w:line="480" w:lineRule="auto"/>
        <w:ind w:firstLine="720"/>
        <w:jc w:val="center"/>
        <w:rPr>
          <w:rFonts w:ascii="Times New Roman" w:hAnsi="Times New Roman" w:cs="Times New Roman"/>
          <w:b/>
          <w:color w:val="222222"/>
          <w:sz w:val="24"/>
          <w:szCs w:val="24"/>
          <w:shd w:val="clear" w:color="auto" w:fill="FFFFFF"/>
        </w:rPr>
      </w:pPr>
      <w:r w:rsidRPr="00C9551B">
        <w:rPr>
          <w:rFonts w:ascii="Times New Roman" w:hAnsi="Times New Roman" w:cs="Times New Roman"/>
          <w:b/>
          <w:color w:val="222222"/>
          <w:sz w:val="24"/>
          <w:szCs w:val="24"/>
          <w:shd w:val="clear" w:color="auto" w:fill="FFFFFF"/>
        </w:rPr>
        <w:t>Week 5.</w:t>
      </w:r>
    </w:p>
    <w:p w:rsidR="00381C00" w:rsidRPr="00C9551B" w:rsidRDefault="00381C00" w:rsidP="00C9551B">
      <w:pPr>
        <w:spacing w:line="480" w:lineRule="auto"/>
        <w:ind w:firstLine="720"/>
        <w:jc w:val="center"/>
        <w:rPr>
          <w:rFonts w:ascii="Times New Roman" w:hAnsi="Times New Roman" w:cs="Times New Roman"/>
          <w:b/>
          <w:i/>
          <w:color w:val="222222"/>
          <w:sz w:val="24"/>
          <w:szCs w:val="24"/>
          <w:shd w:val="clear" w:color="auto" w:fill="FFFFFF"/>
        </w:rPr>
      </w:pPr>
      <w:r w:rsidRPr="00C9551B">
        <w:rPr>
          <w:rFonts w:ascii="Times New Roman" w:hAnsi="Times New Roman" w:cs="Times New Roman"/>
          <w:b/>
          <w:i/>
          <w:color w:val="222222"/>
          <w:sz w:val="24"/>
          <w:szCs w:val="24"/>
          <w:shd w:val="clear" w:color="auto" w:fill="FFFFFF"/>
        </w:rPr>
        <w:t>Question 1</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Eternal nutrition is the mixture of all the needs nutrients. It tends to be thicker than parenteral nutrition and to some extends it looks like a milkshake (Nucci et al., 2018). Enteral nutrition is given through a tube to the stomach. The main implication for enteral nutrition for nurses is that nurses should monitor the patient for feeding tolerance before enteral feedings. The nurse should assess the patient’s abdomen by auscultating for bowel sounds as well as palpating for rigidity, tenderness, and distention amid others.</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Parenteral nutrition, on the other hand, is one of the common approaches by which people get nutrition when they are unable to eat as well as use their gut through tube feeding. It is a special liquid mixture given into the blood via an intravenous tube into a vain (Nucci et al., 2018) This liquid mixture contained sugars, fats, proteins, minerals and vitamins among other essential nutrients. In regards to parenteral nutrition, nurses should be keen to observe the common side effects such as poor night vision, mouth sores, and skin changes. It is also implying that nurses should be very observant to cross-check issues of confusion, changes in heartbeat, memory loss amid other effects so as to provide acute intervention. A nurse should, therefore, be careful when administering this nutrition.</w:t>
      </w:r>
    </w:p>
    <w:p w:rsidR="00381C00" w:rsidRPr="00C9551B" w:rsidRDefault="00381C00" w:rsidP="00C9551B">
      <w:pPr>
        <w:spacing w:line="480" w:lineRule="auto"/>
        <w:ind w:firstLine="720"/>
        <w:jc w:val="center"/>
        <w:rPr>
          <w:rFonts w:ascii="Times New Roman" w:hAnsi="Times New Roman" w:cs="Times New Roman"/>
          <w:b/>
          <w:i/>
          <w:color w:val="222222"/>
          <w:sz w:val="24"/>
          <w:szCs w:val="24"/>
          <w:shd w:val="clear" w:color="auto" w:fill="FFFFFF"/>
        </w:rPr>
      </w:pPr>
      <w:r w:rsidRPr="00C9551B">
        <w:rPr>
          <w:rFonts w:ascii="Times New Roman" w:hAnsi="Times New Roman" w:cs="Times New Roman"/>
          <w:b/>
          <w:i/>
          <w:color w:val="222222"/>
          <w:sz w:val="24"/>
          <w:szCs w:val="24"/>
          <w:shd w:val="clear" w:color="auto" w:fill="FFFFFF"/>
        </w:rPr>
        <w:t>Question 2:</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lastRenderedPageBreak/>
        <w:t>Gastrostomy tube care (also called G-tube care) entails a tube inserted through the abdomen that delivers nutrition directly to the stomach. In my opinion, I feel that G-tube care was the most appropriate lifesaving intervention for the patient since she was not able to take adequate nutrition by mouth.  The benefit of the G-tube caring approach is that it stands a chance to save life for patients who are struggling to get adequate calories and those with terrible reflux and vomiting (Backman et al., 2018). The tube is long and sufficient enough for feeding patients and helping them to regain their weight, as well as get all calories content that they need until they are able to eat and care for themselves. G-tubes are easy to manage and can manage home by parents and caregivers. On the other hand, G-tubes are disadvantageous in that they occasionally leak and gets the patient cloths wet causing bad smell to patients (Mays et al., 2018). G-tubes must be kept clean and dry to alleviate issues of infection. It is expensive to purchases all the medical supplies and manage the tube. In essence, there are multiple things to consider when making a choice to have the G-tube care for your patient.</w:t>
      </w:r>
    </w:p>
    <w:p w:rsidR="00381C00" w:rsidRPr="00C9551B" w:rsidRDefault="00381C00" w:rsidP="00C9551B">
      <w:pPr>
        <w:spacing w:line="480" w:lineRule="auto"/>
        <w:ind w:firstLine="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As a follow-up activity with the patient and her family, I would have it in mind that G-tube is a challenging, caring approach and that the many risky behaviors are likely to be eminent. In this concern, I would make an effort to promote comfort, appetite, and reduce intolerance amid the patients and family.  I would also use varied techniques to encourage food acceptance once the patient gets comfortable from the G-tube standpoint. I would apply positive behavioral reinforcement to improve acceptance of liquids and foods. I would also encourage chewing after the patient shows signs of recovery to let her prepare on personal feeding mechanics. I would encourage the patient that illness is a common path that we all go through. This would give moti</w:t>
      </w:r>
      <w:r w:rsidR="00F31412">
        <w:rPr>
          <w:rFonts w:ascii="Times New Roman" w:hAnsi="Times New Roman" w:cs="Times New Roman"/>
          <w:color w:val="222222"/>
          <w:sz w:val="24"/>
          <w:szCs w:val="24"/>
          <w:shd w:val="clear" w:color="auto" w:fill="FFFFFF"/>
        </w:rPr>
        <w:t xml:space="preserve">vation and alleviate depression </w:t>
      </w:r>
      <w:r w:rsidR="00F31412" w:rsidRPr="00C9551B">
        <w:rPr>
          <w:rFonts w:ascii="Times New Roman" w:hAnsi="Times New Roman" w:cs="Times New Roman"/>
          <w:color w:val="222222"/>
          <w:sz w:val="24"/>
          <w:szCs w:val="24"/>
          <w:shd w:val="clear" w:color="auto" w:fill="FFFFFF"/>
        </w:rPr>
        <w:t>(Mays et al., 2018).</w:t>
      </w:r>
    </w:p>
    <w:p w:rsidR="00381C00" w:rsidRPr="00C9551B" w:rsidRDefault="00381C00" w:rsidP="00C9551B">
      <w:pPr>
        <w:spacing w:line="480" w:lineRule="auto"/>
        <w:jc w:val="center"/>
        <w:rPr>
          <w:rFonts w:ascii="Times New Roman" w:hAnsi="Times New Roman" w:cs="Times New Roman"/>
          <w:sz w:val="24"/>
          <w:szCs w:val="24"/>
        </w:rPr>
      </w:pPr>
      <w:r w:rsidRPr="00C9551B">
        <w:rPr>
          <w:rFonts w:ascii="Times New Roman" w:hAnsi="Times New Roman" w:cs="Times New Roman"/>
          <w:sz w:val="24"/>
          <w:szCs w:val="24"/>
        </w:rPr>
        <w:t>References.</w:t>
      </w:r>
    </w:p>
    <w:p w:rsidR="00381C00" w:rsidRPr="00C9551B" w:rsidRDefault="00381C00" w:rsidP="00C9551B">
      <w:pPr>
        <w:spacing w:line="480" w:lineRule="auto"/>
        <w:ind w:left="720" w:hanging="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lastRenderedPageBreak/>
        <w:t>Backman, E., Karlsson, A. K., &amp;Sjögreen, L. (2018). Gastrostomy Tube Feeding in Children With Developmental or Acquired Disorders: A Longitudinal Comparison on Healthcare Provision and Eating Outcomes 4 Years After Gastrostomy. </w:t>
      </w:r>
      <w:r w:rsidRPr="00C9551B">
        <w:rPr>
          <w:rFonts w:ascii="Times New Roman" w:hAnsi="Times New Roman" w:cs="Times New Roman"/>
          <w:i/>
          <w:iCs/>
          <w:color w:val="222222"/>
          <w:sz w:val="24"/>
          <w:szCs w:val="24"/>
          <w:shd w:val="clear" w:color="auto" w:fill="FFFFFF"/>
        </w:rPr>
        <w:t>Nutrition in Clinical Practice</w:t>
      </w:r>
      <w:r w:rsidRPr="00C9551B">
        <w:rPr>
          <w:rFonts w:ascii="Times New Roman" w:hAnsi="Times New Roman" w:cs="Times New Roman"/>
          <w:color w:val="222222"/>
          <w:sz w:val="24"/>
          <w:szCs w:val="24"/>
          <w:shd w:val="clear" w:color="auto" w:fill="FFFFFF"/>
        </w:rPr>
        <w:t>.</w:t>
      </w:r>
    </w:p>
    <w:p w:rsidR="00381C00" w:rsidRPr="00C9551B" w:rsidRDefault="00381C00" w:rsidP="00C9551B">
      <w:pPr>
        <w:spacing w:line="480" w:lineRule="auto"/>
        <w:ind w:left="720" w:hanging="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Mays, A. C., Bartels, H. G., Wistermayer, P. R., Rohlfing, M. L., Gentile, C. M., D'Agostino Jr, R., &amp;Waltonen, J. D. (2018). Potential for health care cost savings with preoperative gastrostomy tube placement in the head and neck cancer population. </w:t>
      </w:r>
      <w:r w:rsidRPr="00C9551B">
        <w:rPr>
          <w:rFonts w:ascii="Times New Roman" w:hAnsi="Times New Roman" w:cs="Times New Roman"/>
          <w:i/>
          <w:iCs/>
          <w:color w:val="222222"/>
          <w:sz w:val="24"/>
          <w:szCs w:val="24"/>
          <w:shd w:val="clear" w:color="auto" w:fill="FFFFFF"/>
        </w:rPr>
        <w:t>Head &amp; neck</w:t>
      </w:r>
      <w:r w:rsidRPr="00C9551B">
        <w:rPr>
          <w:rFonts w:ascii="Times New Roman" w:hAnsi="Times New Roman" w:cs="Times New Roman"/>
          <w:color w:val="222222"/>
          <w:sz w:val="24"/>
          <w:szCs w:val="24"/>
          <w:shd w:val="clear" w:color="auto" w:fill="FFFFFF"/>
        </w:rPr>
        <w:t>, </w:t>
      </w:r>
      <w:r w:rsidRPr="00C9551B">
        <w:rPr>
          <w:rFonts w:ascii="Times New Roman" w:hAnsi="Times New Roman" w:cs="Times New Roman"/>
          <w:i/>
          <w:iCs/>
          <w:color w:val="222222"/>
          <w:sz w:val="24"/>
          <w:szCs w:val="24"/>
          <w:shd w:val="clear" w:color="auto" w:fill="FFFFFF"/>
        </w:rPr>
        <w:t>40</w:t>
      </w:r>
      <w:r w:rsidRPr="00C9551B">
        <w:rPr>
          <w:rFonts w:ascii="Times New Roman" w:hAnsi="Times New Roman" w:cs="Times New Roman"/>
          <w:color w:val="222222"/>
          <w:sz w:val="24"/>
          <w:szCs w:val="24"/>
          <w:shd w:val="clear" w:color="auto" w:fill="FFFFFF"/>
        </w:rPr>
        <w:t>(1), 111-119.</w:t>
      </w:r>
    </w:p>
    <w:p w:rsidR="00381C00" w:rsidRDefault="00381C00" w:rsidP="00C9551B">
      <w:pPr>
        <w:spacing w:line="480" w:lineRule="auto"/>
        <w:ind w:left="720" w:hanging="720"/>
        <w:rPr>
          <w:rFonts w:ascii="Times New Roman" w:hAnsi="Times New Roman" w:cs="Times New Roman"/>
          <w:color w:val="222222"/>
          <w:sz w:val="24"/>
          <w:szCs w:val="24"/>
          <w:shd w:val="clear" w:color="auto" w:fill="FFFFFF"/>
        </w:rPr>
      </w:pPr>
      <w:r w:rsidRPr="00C9551B">
        <w:rPr>
          <w:rFonts w:ascii="Times New Roman" w:hAnsi="Times New Roman" w:cs="Times New Roman"/>
          <w:color w:val="222222"/>
          <w:sz w:val="24"/>
          <w:szCs w:val="24"/>
          <w:shd w:val="clear" w:color="auto" w:fill="FFFFFF"/>
        </w:rPr>
        <w:t>Nucci, A., Thomas, E., Hopkins, B., &amp; White, J. (2018). Comparison of Nutrition Outcomes by Enteral Nutrition Feeding Method during Weaning from Parenteral Nutrition in Children with Intestinal F</w:t>
      </w:r>
      <w:bookmarkStart w:id="0" w:name="_GoBack"/>
      <w:bookmarkEnd w:id="0"/>
      <w:r w:rsidRPr="00C9551B">
        <w:rPr>
          <w:rFonts w:ascii="Times New Roman" w:hAnsi="Times New Roman" w:cs="Times New Roman"/>
          <w:color w:val="222222"/>
          <w:sz w:val="24"/>
          <w:szCs w:val="24"/>
          <w:shd w:val="clear" w:color="auto" w:fill="FFFFFF"/>
        </w:rPr>
        <w:t>ailure.</w:t>
      </w:r>
    </w:p>
    <w:p w:rsidR="00AD0893" w:rsidRPr="008372D6" w:rsidRDefault="00AD0893" w:rsidP="00AD0893">
      <w:pPr>
        <w:spacing w:line="480" w:lineRule="auto"/>
        <w:jc w:val="center"/>
        <w:rPr>
          <w:rFonts w:ascii="Times New Roman" w:hAnsi="Times New Roman" w:cs="Times New Roman"/>
          <w:b/>
          <w:sz w:val="24"/>
          <w:szCs w:val="24"/>
        </w:rPr>
      </w:pPr>
      <w:r w:rsidRPr="008372D6">
        <w:rPr>
          <w:rFonts w:ascii="Times New Roman" w:hAnsi="Times New Roman" w:cs="Times New Roman"/>
          <w:b/>
          <w:sz w:val="24"/>
          <w:szCs w:val="24"/>
        </w:rPr>
        <w:t>Week 6; Question 1</w:t>
      </w:r>
    </w:p>
    <w:p w:rsidR="00AD0893" w:rsidRPr="00F0640D"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t xml:space="preserve">Insulin is a hormone that plays a critical role in the regulation of blood glucose levels in the body. For that reason, lack of enough insulin or the inability to respond to insulin can lead to the development of the symptoms of diabetes. In type 1 diabetes, the body produces insufficient insulin that is unable to regulate blood levels. On the other hand, type 2 diabetes is governed by the entire body failing to respond effectively </w:t>
      </w:r>
      <w:r>
        <w:rPr>
          <w:rFonts w:ascii="Times New Roman" w:hAnsi="Times New Roman" w:cs="Times New Roman"/>
          <w:sz w:val="24"/>
          <w:szCs w:val="24"/>
        </w:rPr>
        <w:t>t</w:t>
      </w:r>
      <w:r w:rsidRPr="00F0640D">
        <w:rPr>
          <w:rFonts w:ascii="Times New Roman" w:hAnsi="Times New Roman" w:cs="Times New Roman"/>
          <w:sz w:val="24"/>
          <w:szCs w:val="24"/>
        </w:rPr>
        <w:t>o insulin. According to American Diabetes Association (2015), oral medications are also essential in the treatment of both types of diabetes. Comparing both type 1 and type 2 diabetes, one common effect of insulin and oral medications for type 1 and 2 diabetics is wei</w:t>
      </w:r>
      <w:r>
        <w:rPr>
          <w:rFonts w:ascii="Times New Roman" w:hAnsi="Times New Roman" w:cs="Times New Roman"/>
          <w:sz w:val="24"/>
          <w:szCs w:val="24"/>
        </w:rPr>
        <w:t>ght gain. This is because of</w:t>
      </w:r>
      <w:r w:rsidRPr="00F0640D">
        <w:rPr>
          <w:rFonts w:ascii="Times New Roman" w:hAnsi="Times New Roman" w:cs="Times New Roman"/>
          <w:sz w:val="24"/>
          <w:szCs w:val="24"/>
        </w:rPr>
        <w:t xml:space="preserve"> more efficient use of calories during insulin therapies hence suggesting additional benefits of exercise and dietary modifications.  </w:t>
      </w:r>
      <w:r w:rsidRPr="00F0640D">
        <w:rPr>
          <w:rFonts w:ascii="Times New Roman" w:hAnsi="Times New Roman" w:cs="Times New Roman"/>
          <w:sz w:val="24"/>
          <w:szCs w:val="24"/>
        </w:rPr>
        <w:lastRenderedPageBreak/>
        <w:t>Other medications have been attributed to loss of appetite, diarrhea, occasional skin rush and fluid retention.</w:t>
      </w:r>
    </w:p>
    <w:p w:rsidR="00AD0893" w:rsidRPr="00F0640D"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t xml:space="preserve">However, </w:t>
      </w:r>
      <w:r w:rsidR="00F31412">
        <w:rPr>
          <w:rFonts w:ascii="Times New Roman" w:hAnsi="Times New Roman" w:cs="Times New Roman"/>
          <w:sz w:val="24"/>
          <w:szCs w:val="24"/>
        </w:rPr>
        <w:t xml:space="preserve">the </w:t>
      </w:r>
      <w:r w:rsidR="00F31412" w:rsidRPr="00F0640D">
        <w:rPr>
          <w:rFonts w:ascii="Times New Roman" w:hAnsi="Times New Roman" w:cs="Times New Roman"/>
          <w:sz w:val="24"/>
          <w:szCs w:val="24"/>
        </w:rPr>
        <w:t>effects of insulin and oral medications in both types of diabetes vary</w:t>
      </w:r>
      <w:r w:rsidRPr="00F0640D">
        <w:rPr>
          <w:rFonts w:ascii="Times New Roman" w:hAnsi="Times New Roman" w:cs="Times New Roman"/>
          <w:sz w:val="24"/>
          <w:szCs w:val="24"/>
        </w:rPr>
        <w:t xml:space="preserve">. Hypoglycemia occurs in 16% to patients having type 1 diabetes while it occurs to patients with type 2 diabetes with less than 10% (Gregg et al., 2016). For type 1 patients, it is characterized with confusion, sweating and can result into comas, cardiac arrhythmias and neurological deficits. Therefore, it is recommended that blood and urine glucose monitoring for patients with type of diabetes. However, type 2 diabetes patients tend to suffer from pancreatic conditions </w:t>
      </w:r>
      <w:r>
        <w:rPr>
          <w:rFonts w:ascii="Times New Roman" w:hAnsi="Times New Roman" w:cs="Times New Roman"/>
          <w:sz w:val="24"/>
          <w:szCs w:val="24"/>
        </w:rPr>
        <w:t>in a higher rate</w:t>
      </w:r>
      <w:r w:rsidRPr="00F0640D">
        <w:rPr>
          <w:rFonts w:ascii="Times New Roman" w:hAnsi="Times New Roman" w:cs="Times New Roman"/>
          <w:sz w:val="24"/>
          <w:szCs w:val="24"/>
        </w:rPr>
        <w:t xml:space="preserve"> compared to those who have type 1 diabetes. Concerning the patient education necessary, patients need to learn about synthetic insulin. It is fundamental for patients to understand that they need insulin which is not produced in their own body. Besides, patients should be equipped with education on how insu</w:t>
      </w:r>
      <w:r>
        <w:rPr>
          <w:rFonts w:ascii="Times New Roman" w:hAnsi="Times New Roman" w:cs="Times New Roman"/>
          <w:sz w:val="24"/>
          <w:szCs w:val="24"/>
        </w:rPr>
        <w:t>lin is usually in</w:t>
      </w:r>
      <w:r w:rsidRPr="00F0640D">
        <w:rPr>
          <w:rFonts w:ascii="Times New Roman" w:hAnsi="Times New Roman" w:cs="Times New Roman"/>
          <w:sz w:val="24"/>
          <w:szCs w:val="24"/>
        </w:rPr>
        <w:t xml:space="preserve">jected through insulin pumps that continually infuses insulin through the day and night. </w:t>
      </w:r>
      <w:r>
        <w:rPr>
          <w:rFonts w:ascii="Times New Roman" w:hAnsi="Times New Roman" w:cs="Times New Roman"/>
          <w:sz w:val="24"/>
          <w:szCs w:val="24"/>
        </w:rPr>
        <w:t>Therefore, p</w:t>
      </w:r>
      <w:r w:rsidRPr="00F0640D">
        <w:rPr>
          <w:rFonts w:ascii="Times New Roman" w:hAnsi="Times New Roman" w:cs="Times New Roman"/>
          <w:sz w:val="24"/>
          <w:szCs w:val="24"/>
        </w:rPr>
        <w:t xml:space="preserve">atients also need to know the importance of exercise while undergoing diabetes therapies to control weight gain. </w:t>
      </w:r>
    </w:p>
    <w:p w:rsidR="00AD0893" w:rsidRPr="00F0640D" w:rsidRDefault="00AD0893" w:rsidP="00AD0893">
      <w:pPr>
        <w:spacing w:line="480" w:lineRule="auto"/>
        <w:jc w:val="center"/>
        <w:rPr>
          <w:rFonts w:ascii="Times New Roman" w:hAnsi="Times New Roman" w:cs="Times New Roman"/>
          <w:sz w:val="24"/>
          <w:szCs w:val="24"/>
        </w:rPr>
      </w:pPr>
      <w:r w:rsidRPr="00F0640D">
        <w:rPr>
          <w:rFonts w:ascii="Times New Roman" w:hAnsi="Times New Roman" w:cs="Times New Roman"/>
          <w:sz w:val="24"/>
          <w:szCs w:val="24"/>
        </w:rPr>
        <w:t>References</w:t>
      </w:r>
    </w:p>
    <w:p w:rsidR="00AD0893" w:rsidRPr="00F0640D" w:rsidRDefault="00AD0893" w:rsidP="00AD0893">
      <w:pPr>
        <w:spacing w:line="480" w:lineRule="auto"/>
        <w:ind w:left="720" w:hanging="720"/>
        <w:rPr>
          <w:rFonts w:ascii="Times New Roman" w:hAnsi="Times New Roman" w:cs="Times New Roman"/>
          <w:sz w:val="24"/>
          <w:szCs w:val="24"/>
        </w:rPr>
      </w:pPr>
      <w:r w:rsidRPr="00F0640D">
        <w:rPr>
          <w:rFonts w:ascii="Times New Roman" w:hAnsi="Times New Roman" w:cs="Times New Roman"/>
          <w:sz w:val="24"/>
          <w:szCs w:val="24"/>
        </w:rPr>
        <w:t>American Diabetes Association. (2015). 2. Classification and diagnosis of diabetes. </w:t>
      </w:r>
      <w:r w:rsidRPr="00F0640D">
        <w:rPr>
          <w:rFonts w:ascii="Times New Roman" w:hAnsi="Times New Roman" w:cs="Times New Roman"/>
          <w:i/>
          <w:iCs/>
          <w:sz w:val="24"/>
          <w:szCs w:val="24"/>
        </w:rPr>
        <w:t>Diabetes care</w:t>
      </w:r>
      <w:r w:rsidRPr="00F0640D">
        <w:rPr>
          <w:rFonts w:ascii="Times New Roman" w:hAnsi="Times New Roman" w:cs="Times New Roman"/>
          <w:sz w:val="24"/>
          <w:szCs w:val="24"/>
        </w:rPr>
        <w:t>, </w:t>
      </w:r>
      <w:r w:rsidRPr="00F0640D">
        <w:rPr>
          <w:rFonts w:ascii="Times New Roman" w:hAnsi="Times New Roman" w:cs="Times New Roman"/>
          <w:i/>
          <w:iCs/>
          <w:sz w:val="24"/>
          <w:szCs w:val="24"/>
        </w:rPr>
        <w:t>38</w:t>
      </w:r>
      <w:r w:rsidRPr="00F0640D">
        <w:rPr>
          <w:rFonts w:ascii="Times New Roman" w:hAnsi="Times New Roman" w:cs="Times New Roman"/>
          <w:sz w:val="24"/>
          <w:szCs w:val="24"/>
        </w:rPr>
        <w:t>(Supplement 1), S8-S16.</w:t>
      </w:r>
    </w:p>
    <w:p w:rsidR="00AD0893" w:rsidRPr="00F0640D" w:rsidRDefault="00AD0893" w:rsidP="00AD0893">
      <w:pPr>
        <w:spacing w:line="480" w:lineRule="auto"/>
        <w:ind w:left="720" w:hanging="720"/>
        <w:rPr>
          <w:rFonts w:ascii="Times New Roman" w:hAnsi="Times New Roman" w:cs="Times New Roman"/>
          <w:sz w:val="24"/>
          <w:szCs w:val="24"/>
        </w:rPr>
      </w:pPr>
      <w:r w:rsidRPr="00F0640D">
        <w:rPr>
          <w:rFonts w:ascii="Times New Roman" w:hAnsi="Times New Roman" w:cs="Times New Roman"/>
          <w:sz w:val="24"/>
          <w:szCs w:val="24"/>
        </w:rPr>
        <w:t>Gregg, E. W., Sattar, N., &amp; Ali, M. K. (2016). The changing face of diabetes complications. </w:t>
      </w:r>
      <w:r w:rsidRPr="00F0640D">
        <w:rPr>
          <w:rFonts w:ascii="Times New Roman" w:hAnsi="Times New Roman" w:cs="Times New Roman"/>
          <w:i/>
          <w:iCs/>
          <w:sz w:val="24"/>
          <w:szCs w:val="24"/>
        </w:rPr>
        <w:t>The lancet Diabetes &amp; endocrinology</w:t>
      </w:r>
      <w:r w:rsidRPr="00F0640D">
        <w:rPr>
          <w:rFonts w:ascii="Times New Roman" w:hAnsi="Times New Roman" w:cs="Times New Roman"/>
          <w:sz w:val="24"/>
          <w:szCs w:val="24"/>
        </w:rPr>
        <w:t>, </w:t>
      </w:r>
      <w:r w:rsidRPr="00F0640D">
        <w:rPr>
          <w:rFonts w:ascii="Times New Roman" w:hAnsi="Times New Roman" w:cs="Times New Roman"/>
          <w:i/>
          <w:iCs/>
          <w:sz w:val="24"/>
          <w:szCs w:val="24"/>
        </w:rPr>
        <w:t>4</w:t>
      </w:r>
      <w:r w:rsidRPr="00F0640D">
        <w:rPr>
          <w:rFonts w:ascii="Times New Roman" w:hAnsi="Times New Roman" w:cs="Times New Roman"/>
          <w:sz w:val="24"/>
          <w:szCs w:val="24"/>
        </w:rPr>
        <w:t>(6), 537-547.</w:t>
      </w:r>
    </w:p>
    <w:p w:rsidR="00AD0893" w:rsidRPr="00B07AC1" w:rsidRDefault="00AD0893" w:rsidP="00AD0893">
      <w:pPr>
        <w:spacing w:line="480" w:lineRule="auto"/>
        <w:jc w:val="center"/>
        <w:rPr>
          <w:rFonts w:ascii="Times New Roman" w:hAnsi="Times New Roman" w:cs="Times New Roman"/>
          <w:b/>
          <w:sz w:val="24"/>
          <w:szCs w:val="24"/>
        </w:rPr>
      </w:pPr>
      <w:r w:rsidRPr="00B07AC1">
        <w:rPr>
          <w:rFonts w:ascii="Times New Roman" w:hAnsi="Times New Roman" w:cs="Times New Roman"/>
          <w:b/>
          <w:sz w:val="24"/>
          <w:szCs w:val="24"/>
        </w:rPr>
        <w:t>Week 7; Question 2</w:t>
      </w:r>
    </w:p>
    <w:p w:rsidR="00AD0893" w:rsidRPr="00F0640D"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t xml:space="preserve">Proteins can be defined as biological </w:t>
      </w:r>
      <w:r>
        <w:rPr>
          <w:rFonts w:ascii="Times New Roman" w:hAnsi="Times New Roman" w:cs="Times New Roman"/>
          <w:sz w:val="24"/>
          <w:szCs w:val="24"/>
        </w:rPr>
        <w:t>polymers which compri</w:t>
      </w:r>
      <w:r w:rsidRPr="00F0640D">
        <w:rPr>
          <w:rFonts w:ascii="Times New Roman" w:hAnsi="Times New Roman" w:cs="Times New Roman"/>
          <w:sz w:val="24"/>
          <w:szCs w:val="24"/>
        </w:rPr>
        <w:t xml:space="preserve">se </w:t>
      </w:r>
      <w:r>
        <w:rPr>
          <w:rFonts w:ascii="Times New Roman" w:hAnsi="Times New Roman" w:cs="Times New Roman"/>
          <w:sz w:val="24"/>
          <w:szCs w:val="24"/>
        </w:rPr>
        <w:t xml:space="preserve">of </w:t>
      </w:r>
      <w:r w:rsidRPr="00F0640D">
        <w:rPr>
          <w:rFonts w:ascii="Times New Roman" w:hAnsi="Times New Roman" w:cs="Times New Roman"/>
          <w:sz w:val="24"/>
          <w:szCs w:val="24"/>
        </w:rPr>
        <w:t xml:space="preserve">amino acids. Generally, there are two classes of protein molecules which are globular and fibrous proteins. </w:t>
      </w:r>
      <w:r w:rsidRPr="00F0640D">
        <w:rPr>
          <w:rFonts w:ascii="Times New Roman" w:hAnsi="Times New Roman" w:cs="Times New Roman"/>
          <w:sz w:val="24"/>
          <w:szCs w:val="24"/>
        </w:rPr>
        <w:lastRenderedPageBreak/>
        <w:t xml:space="preserve">Globular proteins are soluble, compact and spherical in shape. On the other hand, fibrous proteins are elongated and insoluble in nature. Further, both the globular and fibrous proteins may exhibit one or more structure such as primary, secondary and tertiary. Thus, the types and levels of proteins that patients requires to cure kidney conditions vary from patient to patient. Nephrotic syndrome, acute kidney disease and chronic kidney disease are kidney failures that are characterized by high levels of protein in the urine, low levels of protein in the blood and swelling of the eyes, hands and feet (Webster et al., 2017). In regards to renal patients with nephrotic syndrome, high-protein diets are not encouraged since they may encourage serious damage to the nephrons leading to renal insufficiency. Besides, a common recommendation of 0.6 grams of protein per kilogram of a normal body weight is generally encouraged. </w:t>
      </w:r>
    </w:p>
    <w:p w:rsidR="00AD0893" w:rsidRPr="00F0640D"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t xml:space="preserve">Concerning patients with chronic kidney diseases, their kidneys lose the ability to remove protein waste hence </w:t>
      </w:r>
      <w:r>
        <w:rPr>
          <w:rFonts w:ascii="Times New Roman" w:hAnsi="Times New Roman" w:cs="Times New Roman"/>
          <w:sz w:val="24"/>
          <w:szCs w:val="24"/>
        </w:rPr>
        <w:t>beginning to</w:t>
      </w:r>
      <w:r w:rsidRPr="00F0640D">
        <w:rPr>
          <w:rFonts w:ascii="Times New Roman" w:hAnsi="Times New Roman" w:cs="Times New Roman"/>
          <w:sz w:val="24"/>
          <w:szCs w:val="24"/>
        </w:rPr>
        <w:t xml:space="preserve"> building up in the blood. As such, the infection of the kidney in this case is based on nutrition status, body size and stage of the chronic kidney disease. According to Chawla et al. (2014), it is recommended that patients take 40 to 65 grams of protein each day to fight infection and also </w:t>
      </w:r>
      <w:r w:rsidR="00F31412" w:rsidRPr="00F0640D">
        <w:rPr>
          <w:rFonts w:ascii="Times New Roman" w:hAnsi="Times New Roman" w:cs="Times New Roman"/>
          <w:sz w:val="24"/>
          <w:szCs w:val="24"/>
        </w:rPr>
        <w:t>counseling</w:t>
      </w:r>
      <w:r w:rsidRPr="00F0640D">
        <w:rPr>
          <w:rFonts w:ascii="Times New Roman" w:hAnsi="Times New Roman" w:cs="Times New Roman"/>
          <w:sz w:val="24"/>
          <w:szCs w:val="24"/>
        </w:rPr>
        <w:t xml:space="preserve"> sessions with a professional dietarian to manage the condition. Again, patients with acute kidney disease often have protein-energy wasting is a negative prognostic factor. Therefore, nutritional support is required to ensure that the required amount of proteins is provided. Patients with acute kidney disease to receive at least 1.5g/kg per day of proteins but not more than 30 kcal non- protein calories (Webster et al., 2017). </w:t>
      </w:r>
    </w:p>
    <w:p w:rsidR="00AD0893" w:rsidRPr="00F0640D" w:rsidRDefault="00AD0893" w:rsidP="00AD0893">
      <w:pPr>
        <w:spacing w:line="480" w:lineRule="auto"/>
        <w:jc w:val="center"/>
        <w:rPr>
          <w:rFonts w:ascii="Times New Roman" w:hAnsi="Times New Roman" w:cs="Times New Roman"/>
          <w:sz w:val="24"/>
          <w:szCs w:val="24"/>
        </w:rPr>
      </w:pPr>
      <w:r w:rsidRPr="00F0640D">
        <w:rPr>
          <w:rFonts w:ascii="Times New Roman" w:hAnsi="Times New Roman" w:cs="Times New Roman"/>
          <w:sz w:val="24"/>
          <w:szCs w:val="24"/>
        </w:rPr>
        <w:t>References</w:t>
      </w:r>
    </w:p>
    <w:p w:rsidR="00AD0893" w:rsidRPr="00F0640D" w:rsidRDefault="00AD0893" w:rsidP="00AD0893">
      <w:pPr>
        <w:spacing w:line="480" w:lineRule="auto"/>
        <w:ind w:left="720" w:hanging="720"/>
        <w:rPr>
          <w:rFonts w:ascii="Times New Roman" w:hAnsi="Times New Roman" w:cs="Times New Roman"/>
          <w:sz w:val="24"/>
          <w:szCs w:val="24"/>
        </w:rPr>
      </w:pPr>
      <w:r w:rsidRPr="00F0640D">
        <w:rPr>
          <w:rFonts w:ascii="Times New Roman" w:hAnsi="Times New Roman" w:cs="Times New Roman"/>
          <w:sz w:val="24"/>
          <w:szCs w:val="24"/>
        </w:rPr>
        <w:t>Chawla, L. S., Eggers, P. W., Star, R. A., &amp; Kimmel, P. L. (2014). Acute kidney injury and chronic kidney disease as interconnected syndromes. </w:t>
      </w:r>
      <w:r w:rsidRPr="00F0640D">
        <w:rPr>
          <w:rFonts w:ascii="Times New Roman" w:hAnsi="Times New Roman" w:cs="Times New Roman"/>
          <w:i/>
          <w:iCs/>
          <w:sz w:val="24"/>
          <w:szCs w:val="24"/>
        </w:rPr>
        <w:t>New England Journal of Medicine</w:t>
      </w:r>
      <w:r w:rsidRPr="00F0640D">
        <w:rPr>
          <w:rFonts w:ascii="Times New Roman" w:hAnsi="Times New Roman" w:cs="Times New Roman"/>
          <w:sz w:val="24"/>
          <w:szCs w:val="24"/>
        </w:rPr>
        <w:t>, </w:t>
      </w:r>
      <w:r w:rsidRPr="00F0640D">
        <w:rPr>
          <w:rFonts w:ascii="Times New Roman" w:hAnsi="Times New Roman" w:cs="Times New Roman"/>
          <w:i/>
          <w:iCs/>
          <w:sz w:val="24"/>
          <w:szCs w:val="24"/>
        </w:rPr>
        <w:t>371</w:t>
      </w:r>
      <w:r w:rsidRPr="00F0640D">
        <w:rPr>
          <w:rFonts w:ascii="Times New Roman" w:hAnsi="Times New Roman" w:cs="Times New Roman"/>
          <w:sz w:val="24"/>
          <w:szCs w:val="24"/>
        </w:rPr>
        <w:t>(1), 58-66.</w:t>
      </w:r>
    </w:p>
    <w:p w:rsidR="00AD0893" w:rsidRPr="00F0640D" w:rsidRDefault="00AD0893" w:rsidP="00AD0893">
      <w:pPr>
        <w:spacing w:line="480" w:lineRule="auto"/>
        <w:ind w:left="720" w:hanging="720"/>
        <w:rPr>
          <w:rFonts w:ascii="Times New Roman" w:hAnsi="Times New Roman" w:cs="Times New Roman"/>
          <w:sz w:val="24"/>
          <w:szCs w:val="24"/>
        </w:rPr>
      </w:pPr>
      <w:r w:rsidRPr="00F0640D">
        <w:rPr>
          <w:rFonts w:ascii="Times New Roman" w:hAnsi="Times New Roman" w:cs="Times New Roman"/>
          <w:sz w:val="24"/>
          <w:szCs w:val="24"/>
        </w:rPr>
        <w:lastRenderedPageBreak/>
        <w:t>Webster, A. C., Nagler, E. V., Morton, R. L., &amp; Masson, P. (2017). Chronic kidney disease. </w:t>
      </w:r>
      <w:r w:rsidRPr="00F0640D">
        <w:rPr>
          <w:rFonts w:ascii="Times New Roman" w:hAnsi="Times New Roman" w:cs="Times New Roman"/>
          <w:i/>
          <w:iCs/>
          <w:sz w:val="24"/>
          <w:szCs w:val="24"/>
        </w:rPr>
        <w:t>The Lancet</w:t>
      </w:r>
      <w:r w:rsidRPr="00F0640D">
        <w:rPr>
          <w:rFonts w:ascii="Times New Roman" w:hAnsi="Times New Roman" w:cs="Times New Roman"/>
          <w:sz w:val="24"/>
          <w:szCs w:val="24"/>
        </w:rPr>
        <w:t>, </w:t>
      </w:r>
      <w:r w:rsidRPr="00F0640D">
        <w:rPr>
          <w:rFonts w:ascii="Times New Roman" w:hAnsi="Times New Roman" w:cs="Times New Roman"/>
          <w:i/>
          <w:iCs/>
          <w:sz w:val="24"/>
          <w:szCs w:val="24"/>
        </w:rPr>
        <w:t>389</w:t>
      </w:r>
      <w:r w:rsidRPr="00F0640D">
        <w:rPr>
          <w:rFonts w:ascii="Times New Roman" w:hAnsi="Times New Roman" w:cs="Times New Roman"/>
          <w:sz w:val="24"/>
          <w:szCs w:val="24"/>
        </w:rPr>
        <w:t>(10075), 1238-1252.</w:t>
      </w:r>
    </w:p>
    <w:p w:rsidR="00AD0893" w:rsidRPr="00615FB8" w:rsidRDefault="00AD0893" w:rsidP="00AD0893">
      <w:pPr>
        <w:spacing w:line="480" w:lineRule="auto"/>
        <w:jc w:val="center"/>
        <w:rPr>
          <w:rFonts w:ascii="Times New Roman" w:hAnsi="Times New Roman" w:cs="Times New Roman"/>
          <w:b/>
          <w:sz w:val="24"/>
          <w:szCs w:val="24"/>
        </w:rPr>
      </w:pPr>
      <w:r w:rsidRPr="00615FB8">
        <w:rPr>
          <w:rFonts w:ascii="Times New Roman" w:hAnsi="Times New Roman" w:cs="Times New Roman"/>
          <w:b/>
          <w:sz w:val="24"/>
          <w:szCs w:val="24"/>
        </w:rPr>
        <w:t>Week 7; Question 3</w:t>
      </w:r>
    </w:p>
    <w:p w:rsidR="00AD0893" w:rsidRPr="00F0640D"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t>Good nutrition is essential for everyone, whether they are living with cancer or HIV</w:t>
      </w:r>
      <w:r>
        <w:rPr>
          <w:rFonts w:ascii="Times New Roman" w:hAnsi="Times New Roman" w:cs="Times New Roman"/>
          <w:sz w:val="24"/>
          <w:szCs w:val="24"/>
        </w:rPr>
        <w:t>/AIDS infections</w:t>
      </w:r>
      <w:r w:rsidRPr="00F0640D">
        <w:rPr>
          <w:rFonts w:ascii="Times New Roman" w:hAnsi="Times New Roman" w:cs="Times New Roman"/>
          <w:sz w:val="24"/>
          <w:szCs w:val="24"/>
        </w:rPr>
        <w:t>. However, some conditions related to HIV/AIDS and cancer such as lipid abnormalities, wasting and diarrhea call for proper nutrition. This enables patients to maintain strength an</w:t>
      </w:r>
      <w:r>
        <w:rPr>
          <w:rFonts w:ascii="Times New Roman" w:hAnsi="Times New Roman" w:cs="Times New Roman"/>
          <w:sz w:val="24"/>
          <w:szCs w:val="24"/>
        </w:rPr>
        <w:t xml:space="preserve">d also </w:t>
      </w:r>
      <w:r w:rsidRPr="00F0640D">
        <w:rPr>
          <w:rFonts w:ascii="Times New Roman" w:hAnsi="Times New Roman" w:cs="Times New Roman"/>
          <w:sz w:val="24"/>
          <w:szCs w:val="24"/>
        </w:rPr>
        <w:t>healthy immune system</w:t>
      </w:r>
      <w:r>
        <w:rPr>
          <w:rFonts w:ascii="Times New Roman" w:hAnsi="Times New Roman" w:cs="Times New Roman"/>
          <w:sz w:val="24"/>
          <w:szCs w:val="24"/>
        </w:rPr>
        <w:t>s</w:t>
      </w:r>
      <w:r w:rsidRPr="00F0640D">
        <w:rPr>
          <w:rFonts w:ascii="Times New Roman" w:hAnsi="Times New Roman" w:cs="Times New Roman"/>
          <w:sz w:val="24"/>
          <w:szCs w:val="24"/>
        </w:rPr>
        <w:t xml:space="preserve"> as they recover from these conditions. Besides, both HIV/AIDS weaken the immune system of the body hence increasing the risk for food-borne illness. One option that can improve oral intake for cancer and HIV/AIDS is to the effective control of drinks (Wong, 2014). Taking of drinks before meals can greatly lessen the appetite of these patients. Clinicians have asserted that different drinks that are taken before meals </w:t>
      </w:r>
      <w:r w:rsidR="00F31412" w:rsidRPr="00F0640D">
        <w:rPr>
          <w:rFonts w:ascii="Times New Roman" w:hAnsi="Times New Roman" w:cs="Times New Roman"/>
          <w:sz w:val="24"/>
          <w:szCs w:val="24"/>
        </w:rPr>
        <w:t>do</w:t>
      </w:r>
      <w:r w:rsidRPr="00F0640D">
        <w:rPr>
          <w:rFonts w:ascii="Times New Roman" w:hAnsi="Times New Roman" w:cs="Times New Roman"/>
          <w:sz w:val="24"/>
          <w:szCs w:val="24"/>
        </w:rPr>
        <w:t xml:space="preserve"> not stimulate the appetite. Therefore, ensuring that drinks are taken after meals is a critical oral intake option that can improve diet among cancer and HIV/AIDS patients.</w:t>
      </w:r>
    </w:p>
    <w:p w:rsidR="00AD0893"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t xml:space="preserve">Moreover, encouraging adequate dental and mouth care is also an option that can improve oral intake for cancer and HIV/AIDS patients. According to Samaras (2018), clinicians especially those who focus on dental conditions should undertake frequent tests to make sure that the patient’s mouth is in a good position of oral intake. Therefore, this will greatly improve the oral intake since complications that may have </w:t>
      </w:r>
      <w:r w:rsidR="00F31412" w:rsidRPr="00F0640D">
        <w:rPr>
          <w:rFonts w:ascii="Times New Roman" w:hAnsi="Times New Roman" w:cs="Times New Roman"/>
          <w:sz w:val="24"/>
          <w:szCs w:val="24"/>
        </w:rPr>
        <w:t>risen</w:t>
      </w:r>
      <w:r w:rsidRPr="00F0640D">
        <w:rPr>
          <w:rFonts w:ascii="Times New Roman" w:hAnsi="Times New Roman" w:cs="Times New Roman"/>
          <w:sz w:val="24"/>
          <w:szCs w:val="24"/>
        </w:rPr>
        <w:t xml:space="preserve"> are solved immediately when detected. Taking soft foods that require little chewing is also a vital option concerning oral intake to patients with cancer and HIV/AIDS. As such, soft foods require less efforts when swallowing since less chewing is involved. For example, tender cuts of meat that is cooked in gravies </w:t>
      </w:r>
      <w:r>
        <w:rPr>
          <w:rFonts w:ascii="Times New Roman" w:hAnsi="Times New Roman" w:cs="Times New Roman"/>
          <w:sz w:val="24"/>
          <w:szCs w:val="24"/>
        </w:rPr>
        <w:t xml:space="preserve">can be </w:t>
      </w:r>
      <w:r w:rsidRPr="00F0640D">
        <w:rPr>
          <w:rFonts w:ascii="Times New Roman" w:hAnsi="Times New Roman" w:cs="Times New Roman"/>
          <w:sz w:val="24"/>
          <w:szCs w:val="24"/>
        </w:rPr>
        <w:t>swallowed easily</w:t>
      </w:r>
      <w:r>
        <w:rPr>
          <w:rFonts w:ascii="Times New Roman" w:hAnsi="Times New Roman" w:cs="Times New Roman"/>
          <w:sz w:val="24"/>
          <w:szCs w:val="24"/>
        </w:rPr>
        <w:t xml:space="preserve"> by these patients with less difficulties</w:t>
      </w:r>
      <w:r w:rsidRPr="00F0640D">
        <w:rPr>
          <w:rFonts w:ascii="Times New Roman" w:hAnsi="Times New Roman" w:cs="Times New Roman"/>
          <w:sz w:val="24"/>
          <w:szCs w:val="24"/>
        </w:rPr>
        <w:t>.</w:t>
      </w:r>
    </w:p>
    <w:p w:rsidR="00AD0893" w:rsidRPr="00F0640D"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lastRenderedPageBreak/>
        <w:t xml:space="preserve"> Lastly but not least, the consideration of speech language therapy assessment is another way that can be used to improve oral intake for patients with cancer and HIV/AIDS. The speech language therapy assessment aids in enabling the mouth to accommodate flexibility in regards to speech</w:t>
      </w:r>
      <w:r>
        <w:rPr>
          <w:rFonts w:ascii="Times New Roman" w:hAnsi="Times New Roman" w:cs="Times New Roman"/>
          <w:sz w:val="24"/>
          <w:szCs w:val="24"/>
        </w:rPr>
        <w:t xml:space="preserve"> (Wong, 2014)</w:t>
      </w:r>
      <w:r w:rsidRPr="00F0640D">
        <w:rPr>
          <w:rFonts w:ascii="Times New Roman" w:hAnsi="Times New Roman" w:cs="Times New Roman"/>
          <w:sz w:val="24"/>
          <w:szCs w:val="24"/>
        </w:rPr>
        <w:t>. Therefore, this means that the mouth will be in a position to swallow and chew foods since it is flexible and hardened. As a result, these patients will be able to swallow and chew different foods.</w:t>
      </w:r>
    </w:p>
    <w:p w:rsidR="00AD0893" w:rsidRPr="00F0640D" w:rsidRDefault="00AD0893" w:rsidP="00AD0893">
      <w:pPr>
        <w:spacing w:line="480" w:lineRule="auto"/>
        <w:jc w:val="center"/>
        <w:rPr>
          <w:rFonts w:ascii="Times New Roman" w:hAnsi="Times New Roman" w:cs="Times New Roman"/>
          <w:sz w:val="24"/>
          <w:szCs w:val="24"/>
        </w:rPr>
      </w:pPr>
      <w:r w:rsidRPr="00F0640D">
        <w:rPr>
          <w:rFonts w:ascii="Times New Roman" w:hAnsi="Times New Roman" w:cs="Times New Roman"/>
          <w:sz w:val="24"/>
          <w:szCs w:val="24"/>
        </w:rPr>
        <w:t>References</w:t>
      </w:r>
    </w:p>
    <w:p w:rsidR="00AD0893" w:rsidRPr="00F0640D" w:rsidRDefault="00AD0893" w:rsidP="00AD0893">
      <w:pPr>
        <w:spacing w:line="480" w:lineRule="auto"/>
        <w:ind w:left="720" w:hanging="720"/>
        <w:rPr>
          <w:rFonts w:ascii="Times New Roman" w:hAnsi="Times New Roman" w:cs="Times New Roman"/>
          <w:sz w:val="24"/>
          <w:szCs w:val="24"/>
        </w:rPr>
      </w:pPr>
      <w:r w:rsidRPr="00F0640D">
        <w:rPr>
          <w:rFonts w:ascii="Times New Roman" w:hAnsi="Times New Roman" w:cs="Times New Roman"/>
          <w:sz w:val="24"/>
          <w:szCs w:val="24"/>
        </w:rPr>
        <w:t>Samaras, K. (2018). Endocrine and Metabolic Emergencies in HIV/AIDS. </w:t>
      </w:r>
      <w:r w:rsidRPr="00F0640D">
        <w:rPr>
          <w:rFonts w:ascii="Times New Roman" w:hAnsi="Times New Roman" w:cs="Times New Roman"/>
          <w:i/>
          <w:iCs/>
          <w:sz w:val="24"/>
          <w:szCs w:val="24"/>
        </w:rPr>
        <w:t>Endocrine and Metabolic Medical Emergencies: A Clinician's Guide</w:t>
      </w:r>
      <w:r w:rsidRPr="00F0640D">
        <w:rPr>
          <w:rFonts w:ascii="Times New Roman" w:hAnsi="Times New Roman" w:cs="Times New Roman"/>
          <w:sz w:val="24"/>
          <w:szCs w:val="24"/>
        </w:rPr>
        <w:t>, 151-159.</w:t>
      </w:r>
    </w:p>
    <w:p w:rsidR="00AD0893" w:rsidRPr="00F0640D" w:rsidRDefault="00AD0893" w:rsidP="00AD0893">
      <w:pPr>
        <w:spacing w:line="480" w:lineRule="auto"/>
        <w:ind w:left="720" w:hanging="720"/>
        <w:rPr>
          <w:rFonts w:ascii="Times New Roman" w:hAnsi="Times New Roman" w:cs="Times New Roman"/>
          <w:sz w:val="24"/>
          <w:szCs w:val="24"/>
        </w:rPr>
      </w:pPr>
      <w:r w:rsidRPr="00F0640D">
        <w:rPr>
          <w:rFonts w:ascii="Times New Roman" w:hAnsi="Times New Roman" w:cs="Times New Roman"/>
          <w:sz w:val="24"/>
          <w:szCs w:val="24"/>
        </w:rPr>
        <w:t>Wong, H. M. (2014). Oral complications and management strategies for patients undergoing cancer therapy. </w:t>
      </w:r>
      <w:r w:rsidRPr="00F0640D">
        <w:rPr>
          <w:rFonts w:ascii="Times New Roman" w:hAnsi="Times New Roman" w:cs="Times New Roman"/>
          <w:i/>
          <w:iCs/>
          <w:sz w:val="24"/>
          <w:szCs w:val="24"/>
        </w:rPr>
        <w:t>The Scientific World Journal</w:t>
      </w:r>
      <w:r w:rsidRPr="00F0640D">
        <w:rPr>
          <w:rFonts w:ascii="Times New Roman" w:hAnsi="Times New Roman" w:cs="Times New Roman"/>
          <w:sz w:val="24"/>
          <w:szCs w:val="24"/>
        </w:rPr>
        <w:t>, </w:t>
      </w:r>
      <w:r w:rsidRPr="00F0640D">
        <w:rPr>
          <w:rFonts w:ascii="Times New Roman" w:hAnsi="Times New Roman" w:cs="Times New Roman"/>
          <w:i/>
          <w:iCs/>
          <w:sz w:val="24"/>
          <w:szCs w:val="24"/>
        </w:rPr>
        <w:t>2014</w:t>
      </w:r>
      <w:r w:rsidRPr="00F0640D">
        <w:rPr>
          <w:rFonts w:ascii="Times New Roman" w:hAnsi="Times New Roman" w:cs="Times New Roman"/>
          <w:sz w:val="24"/>
          <w:szCs w:val="24"/>
        </w:rPr>
        <w:t>.</w:t>
      </w:r>
    </w:p>
    <w:p w:rsidR="00AD0893" w:rsidRPr="00615FB8" w:rsidRDefault="00AD0893" w:rsidP="00AD0893">
      <w:pPr>
        <w:spacing w:line="480" w:lineRule="auto"/>
        <w:jc w:val="center"/>
        <w:rPr>
          <w:rFonts w:ascii="Times New Roman" w:hAnsi="Times New Roman" w:cs="Times New Roman"/>
          <w:b/>
          <w:sz w:val="24"/>
          <w:szCs w:val="24"/>
        </w:rPr>
      </w:pPr>
      <w:r w:rsidRPr="00615FB8">
        <w:rPr>
          <w:rFonts w:ascii="Times New Roman" w:hAnsi="Times New Roman" w:cs="Times New Roman"/>
          <w:b/>
          <w:sz w:val="24"/>
          <w:szCs w:val="24"/>
        </w:rPr>
        <w:t>Week 8</w:t>
      </w:r>
    </w:p>
    <w:p w:rsidR="00AD0893" w:rsidRPr="00F0640D"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t>Concerning the video, I don’t question any of the information that is presented. This</w:t>
      </w:r>
      <w:r>
        <w:rPr>
          <w:rFonts w:ascii="Times New Roman" w:hAnsi="Times New Roman" w:cs="Times New Roman"/>
          <w:sz w:val="24"/>
          <w:szCs w:val="24"/>
        </w:rPr>
        <w:t xml:space="preserve"> is</w:t>
      </w:r>
      <w:r w:rsidRPr="00F0640D">
        <w:rPr>
          <w:rFonts w:ascii="Times New Roman" w:hAnsi="Times New Roman" w:cs="Times New Roman"/>
          <w:sz w:val="24"/>
          <w:szCs w:val="24"/>
        </w:rPr>
        <w:t xml:space="preserve"> because the information prov</w:t>
      </w:r>
      <w:r>
        <w:rPr>
          <w:rFonts w:ascii="Times New Roman" w:hAnsi="Times New Roman" w:cs="Times New Roman"/>
          <w:sz w:val="24"/>
          <w:szCs w:val="24"/>
        </w:rPr>
        <w:t>ided is realistic and beneficial in regards to the management of heart complications</w:t>
      </w:r>
      <w:r w:rsidRPr="00F0640D">
        <w:rPr>
          <w:rFonts w:ascii="Times New Roman" w:hAnsi="Times New Roman" w:cs="Times New Roman"/>
          <w:sz w:val="24"/>
          <w:szCs w:val="24"/>
        </w:rPr>
        <w:t xml:space="preserve">. In addition, the information is based on research and statistics showing the </w:t>
      </w:r>
      <w:r>
        <w:rPr>
          <w:rFonts w:ascii="Times New Roman" w:hAnsi="Times New Roman" w:cs="Times New Roman"/>
          <w:sz w:val="24"/>
          <w:szCs w:val="24"/>
        </w:rPr>
        <w:t>facts and fictions associated with nutrition and exercises</w:t>
      </w:r>
      <w:r w:rsidRPr="00F0640D">
        <w:rPr>
          <w:rFonts w:ascii="Times New Roman" w:hAnsi="Times New Roman" w:cs="Times New Roman"/>
          <w:sz w:val="24"/>
          <w:szCs w:val="24"/>
        </w:rPr>
        <w:t xml:space="preserve">. </w:t>
      </w:r>
      <w:r>
        <w:rPr>
          <w:rFonts w:ascii="Times New Roman" w:hAnsi="Times New Roman" w:cs="Times New Roman"/>
          <w:sz w:val="24"/>
          <w:szCs w:val="24"/>
        </w:rPr>
        <w:t xml:space="preserve">Thus, </w:t>
      </w:r>
      <w:r w:rsidRPr="00F0640D">
        <w:rPr>
          <w:rFonts w:ascii="Times New Roman" w:hAnsi="Times New Roman" w:cs="Times New Roman"/>
          <w:sz w:val="24"/>
          <w:szCs w:val="24"/>
        </w:rPr>
        <w:t>I feel that the information is curren</w:t>
      </w:r>
      <w:r>
        <w:rPr>
          <w:rFonts w:ascii="Times New Roman" w:hAnsi="Times New Roman" w:cs="Times New Roman"/>
          <w:sz w:val="24"/>
          <w:szCs w:val="24"/>
        </w:rPr>
        <w:t xml:space="preserve">t and up to date </w:t>
      </w:r>
      <w:r w:rsidRPr="00F0640D">
        <w:rPr>
          <w:rFonts w:ascii="Times New Roman" w:hAnsi="Times New Roman" w:cs="Times New Roman"/>
          <w:sz w:val="24"/>
          <w:szCs w:val="24"/>
        </w:rPr>
        <w:t xml:space="preserve">especially under exercises and nutrition. A lot of people are suffering from cardiovascular and heart complications out of misunderstanding the difference between exercises and running (Thomas, 2017). Therefore, these problems have continued to increase at a high rate in daily basis. Therefore, </w:t>
      </w:r>
      <w:r>
        <w:rPr>
          <w:rFonts w:ascii="Times New Roman" w:hAnsi="Times New Roman" w:cs="Times New Roman"/>
          <w:sz w:val="24"/>
          <w:szCs w:val="24"/>
        </w:rPr>
        <w:t xml:space="preserve">it is evident to assert that </w:t>
      </w:r>
      <w:r w:rsidRPr="00F0640D">
        <w:rPr>
          <w:rFonts w:ascii="Times New Roman" w:hAnsi="Times New Roman" w:cs="Times New Roman"/>
          <w:sz w:val="24"/>
          <w:szCs w:val="24"/>
        </w:rPr>
        <w:t>this information is current and up to date. In regards to new information in regards to the video, I learned that coconut milk or</w:t>
      </w:r>
      <w:r>
        <w:rPr>
          <w:rFonts w:ascii="Times New Roman" w:hAnsi="Times New Roman" w:cs="Times New Roman"/>
          <w:sz w:val="24"/>
          <w:szCs w:val="24"/>
        </w:rPr>
        <w:t xml:space="preserve"> coconut</w:t>
      </w:r>
      <w:r w:rsidRPr="00F0640D">
        <w:rPr>
          <w:rFonts w:ascii="Times New Roman" w:hAnsi="Times New Roman" w:cs="Times New Roman"/>
          <w:sz w:val="24"/>
          <w:szCs w:val="24"/>
        </w:rPr>
        <w:t xml:space="preserve"> oil does not reduce cardiovascular risks hence concluding that this is a myth. This can be supported </w:t>
      </w:r>
      <w:r w:rsidRPr="00F0640D">
        <w:rPr>
          <w:rFonts w:ascii="Times New Roman" w:hAnsi="Times New Roman" w:cs="Times New Roman"/>
          <w:sz w:val="24"/>
          <w:szCs w:val="24"/>
        </w:rPr>
        <w:lastRenderedPageBreak/>
        <w:t xml:space="preserve">by studies that were done showing that they have very high concentration if saturated fats that affect the body. </w:t>
      </w:r>
    </w:p>
    <w:p w:rsidR="00AD0893" w:rsidRPr="00F0640D" w:rsidRDefault="00AD0893" w:rsidP="00AD0893">
      <w:pPr>
        <w:spacing w:line="480" w:lineRule="auto"/>
        <w:ind w:firstLine="720"/>
        <w:rPr>
          <w:rFonts w:ascii="Times New Roman" w:hAnsi="Times New Roman" w:cs="Times New Roman"/>
          <w:sz w:val="24"/>
          <w:szCs w:val="24"/>
        </w:rPr>
      </w:pPr>
      <w:r w:rsidRPr="00F0640D">
        <w:rPr>
          <w:rFonts w:ascii="Times New Roman" w:hAnsi="Times New Roman" w:cs="Times New Roman"/>
          <w:sz w:val="24"/>
          <w:szCs w:val="24"/>
        </w:rPr>
        <w:t>Again, I also learned that walking is not quite beneficial compared to running. This is because running helps in the reduction and breaking of calories that are vital in maintaining good health. The informati</w:t>
      </w:r>
      <w:r>
        <w:rPr>
          <w:rFonts w:ascii="Times New Roman" w:hAnsi="Times New Roman" w:cs="Times New Roman"/>
          <w:sz w:val="24"/>
          <w:szCs w:val="24"/>
        </w:rPr>
        <w:t>on provided in the video that is also supported by</w:t>
      </w:r>
      <w:r w:rsidRPr="00F0640D">
        <w:rPr>
          <w:rFonts w:ascii="Times New Roman" w:hAnsi="Times New Roman" w:cs="Times New Roman"/>
          <w:sz w:val="24"/>
          <w:szCs w:val="24"/>
        </w:rPr>
        <w:t xml:space="preserve"> the text is that running is not the same with walking in regards to calories expenditure. This is because the risks of getting a heart attack and stroke will be greatly reduced. Hence, running frequently appears to be realistic way of controlling stroke and heart complications. According to Thomas (2017), one primary factor that </w:t>
      </w:r>
      <w:r w:rsidR="00F31412" w:rsidRPr="00F0640D">
        <w:rPr>
          <w:rFonts w:ascii="Times New Roman" w:hAnsi="Times New Roman" w:cs="Times New Roman"/>
          <w:sz w:val="24"/>
          <w:szCs w:val="24"/>
        </w:rPr>
        <w:t>affects</w:t>
      </w:r>
      <w:r w:rsidRPr="00F0640D">
        <w:rPr>
          <w:rFonts w:ascii="Times New Roman" w:hAnsi="Times New Roman" w:cs="Times New Roman"/>
          <w:sz w:val="24"/>
          <w:szCs w:val="24"/>
        </w:rPr>
        <w:t xml:space="preserve"> heart diseases is exercising. Exercising is more beneficial especially w</w:t>
      </w:r>
      <w:r>
        <w:rPr>
          <w:rFonts w:ascii="Times New Roman" w:hAnsi="Times New Roman" w:cs="Times New Roman"/>
          <w:sz w:val="24"/>
          <w:szCs w:val="24"/>
        </w:rPr>
        <w:t>hen it encompasses running it promotes</w:t>
      </w:r>
      <w:r w:rsidRPr="00F0640D">
        <w:rPr>
          <w:rFonts w:ascii="Times New Roman" w:hAnsi="Times New Roman" w:cs="Times New Roman"/>
          <w:sz w:val="24"/>
          <w:szCs w:val="24"/>
        </w:rPr>
        <w:t xml:space="preserve"> the reduction of calories. Nutrition is another primary factor that </w:t>
      </w:r>
      <w:r w:rsidR="00F31412" w:rsidRPr="00F0640D">
        <w:rPr>
          <w:rFonts w:ascii="Times New Roman" w:hAnsi="Times New Roman" w:cs="Times New Roman"/>
          <w:sz w:val="24"/>
          <w:szCs w:val="24"/>
        </w:rPr>
        <w:t>affects</w:t>
      </w:r>
      <w:r w:rsidRPr="00F0640D">
        <w:rPr>
          <w:rFonts w:ascii="Times New Roman" w:hAnsi="Times New Roman" w:cs="Times New Roman"/>
          <w:sz w:val="24"/>
          <w:szCs w:val="24"/>
        </w:rPr>
        <w:t xml:space="preserve"> heart diseases. It is recommended that low-fats diets should be consumed since they reduce heart complications. For that reason, it is vital to differentiate between facts and fiction in regards to nutrition and exercises.</w:t>
      </w:r>
    </w:p>
    <w:p w:rsidR="00AD0893" w:rsidRPr="00F0640D" w:rsidRDefault="00AD0893" w:rsidP="00AD0893">
      <w:pPr>
        <w:spacing w:line="480" w:lineRule="auto"/>
        <w:jc w:val="center"/>
        <w:rPr>
          <w:rFonts w:ascii="Times New Roman" w:hAnsi="Times New Roman" w:cs="Times New Roman"/>
          <w:sz w:val="24"/>
          <w:szCs w:val="24"/>
        </w:rPr>
      </w:pPr>
      <w:r w:rsidRPr="00F0640D">
        <w:rPr>
          <w:rFonts w:ascii="Times New Roman" w:hAnsi="Times New Roman" w:cs="Times New Roman"/>
          <w:sz w:val="24"/>
          <w:szCs w:val="24"/>
        </w:rPr>
        <w:t>References</w:t>
      </w:r>
    </w:p>
    <w:p w:rsidR="00AD0893" w:rsidRPr="00F0640D" w:rsidRDefault="00AD0893" w:rsidP="00AD0893">
      <w:pPr>
        <w:spacing w:line="480" w:lineRule="auto"/>
        <w:ind w:left="720" w:hanging="720"/>
        <w:rPr>
          <w:rFonts w:ascii="Times New Roman" w:hAnsi="Times New Roman" w:cs="Times New Roman"/>
          <w:sz w:val="24"/>
          <w:szCs w:val="24"/>
        </w:rPr>
      </w:pPr>
      <w:r w:rsidRPr="00F0640D">
        <w:rPr>
          <w:rFonts w:ascii="Times New Roman" w:hAnsi="Times New Roman" w:cs="Times New Roman"/>
          <w:sz w:val="24"/>
          <w:szCs w:val="24"/>
        </w:rPr>
        <w:t>Thomas, R (2017, December 12).</w:t>
      </w:r>
      <w:hyperlink r:id="rId8" w:history="1">
        <w:r w:rsidRPr="00F0640D">
          <w:rPr>
            <w:rStyle w:val="Hyperlink"/>
            <w:rFonts w:ascii="Times New Roman" w:hAnsi="Times New Roman" w:cs="Times New Roman"/>
            <w:bCs/>
            <w:sz w:val="24"/>
            <w:szCs w:val="24"/>
          </w:rPr>
          <w:t>Fact or Fiction? Debunking Exercise &amp; Nutrition Myths for Preventing Heart Disease and Risk Factors</w:t>
        </w:r>
      </w:hyperlink>
      <w:r w:rsidRPr="00F0640D">
        <w:rPr>
          <w:rFonts w:ascii="Times New Roman" w:hAnsi="Times New Roman" w:cs="Times New Roman"/>
          <w:bCs/>
          <w:sz w:val="24"/>
          <w:szCs w:val="24"/>
        </w:rPr>
        <w:t>. Retrieved from</w:t>
      </w:r>
      <w:hyperlink r:id="rId9" w:history="1">
        <w:r w:rsidRPr="00F0640D">
          <w:rPr>
            <w:rStyle w:val="Hyperlink"/>
            <w:rFonts w:ascii="Times New Roman" w:hAnsi="Times New Roman" w:cs="Times New Roman"/>
            <w:sz w:val="24"/>
            <w:szCs w:val="24"/>
          </w:rPr>
          <w:t>https://www.mayoclinic.org/diseases-conditions/heart-disease/multimedia/exercise-nutrition-myths-preventive-cardiology-video/vid-20138710</w:t>
        </w:r>
      </w:hyperlink>
    </w:p>
    <w:p w:rsidR="00AD0893" w:rsidRPr="00C9551B" w:rsidRDefault="00AD0893" w:rsidP="00C9551B">
      <w:pPr>
        <w:spacing w:line="480" w:lineRule="auto"/>
        <w:ind w:left="720" w:hanging="720"/>
        <w:rPr>
          <w:rFonts w:ascii="Times New Roman" w:hAnsi="Times New Roman" w:cs="Times New Roman"/>
          <w:sz w:val="24"/>
          <w:szCs w:val="24"/>
        </w:rPr>
      </w:pPr>
    </w:p>
    <w:sectPr w:rsidR="00AD0893" w:rsidRPr="00C9551B" w:rsidSect="00AC618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BD5" w:rsidRDefault="00B15BD5" w:rsidP="005C2FF4">
      <w:pPr>
        <w:spacing w:after="0" w:line="240" w:lineRule="auto"/>
      </w:pPr>
      <w:r>
        <w:separator/>
      </w:r>
    </w:p>
  </w:endnote>
  <w:endnote w:type="continuationSeparator" w:id="1">
    <w:p w:rsidR="00B15BD5" w:rsidRDefault="00B15BD5" w:rsidP="005C2F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BD5" w:rsidRDefault="00B15BD5" w:rsidP="005C2FF4">
      <w:pPr>
        <w:spacing w:after="0" w:line="240" w:lineRule="auto"/>
      </w:pPr>
      <w:r>
        <w:separator/>
      </w:r>
    </w:p>
  </w:footnote>
  <w:footnote w:type="continuationSeparator" w:id="1">
    <w:p w:rsidR="00B15BD5" w:rsidRDefault="00B15BD5" w:rsidP="005C2F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86" w:rsidRPr="00AC6186" w:rsidRDefault="00C9551B">
    <w:pPr>
      <w:pStyle w:val="Header"/>
      <w:rPr>
        <w:rFonts w:ascii="Times New Roman" w:hAnsi="Times New Roman" w:cs="Times New Roman"/>
        <w:sz w:val="24"/>
        <w:szCs w:val="24"/>
      </w:rPr>
    </w:pPr>
    <w:r w:rsidRPr="00AC6186">
      <w:rPr>
        <w:rFonts w:ascii="Times New Roman" w:hAnsi="Times New Roman" w:cs="Times New Roman"/>
        <w:color w:val="222222"/>
        <w:sz w:val="24"/>
        <w:szCs w:val="24"/>
        <w:shd w:val="clear" w:color="auto" w:fill="FFFFFF"/>
      </w:rPr>
      <w:t>QUESTIONS ON NUTRITION</w:t>
    </w:r>
    <w:r w:rsidRPr="00AC6186">
      <w:rPr>
        <w:rFonts w:ascii="Times New Roman" w:hAnsi="Times New Roman" w:cs="Times New Roman"/>
        <w:sz w:val="24"/>
        <w:szCs w:val="24"/>
      </w:rPr>
      <w:t>.</w:t>
    </w:r>
    <w:r>
      <w:rPr>
        <w:rFonts w:ascii="Times New Roman" w:hAnsi="Times New Roman" w:cs="Times New Roman"/>
        <w:sz w:val="24"/>
        <w:szCs w:val="24"/>
      </w:rPr>
      <w:tab/>
    </w:r>
    <w:r w:rsidRPr="00AC6186">
      <w:rPr>
        <w:rFonts w:ascii="Times New Roman" w:hAnsi="Times New Roman" w:cs="Times New Roman"/>
        <w:sz w:val="24"/>
        <w:szCs w:val="24"/>
      </w:rPr>
      <w:tab/>
    </w:r>
    <w:sdt>
      <w:sdtPr>
        <w:rPr>
          <w:rFonts w:ascii="Times New Roman" w:hAnsi="Times New Roman" w:cs="Times New Roman"/>
          <w:sz w:val="24"/>
          <w:szCs w:val="24"/>
        </w:rPr>
        <w:id w:val="-1353339757"/>
        <w:docPartObj>
          <w:docPartGallery w:val="Page Numbers (Top of Page)"/>
          <w:docPartUnique/>
        </w:docPartObj>
      </w:sdtPr>
      <w:sdtEndPr>
        <w:rPr>
          <w:noProof/>
        </w:rPr>
      </w:sdtEndPr>
      <w:sdtContent>
        <w:r w:rsidR="005C7501" w:rsidRPr="00AC6186">
          <w:rPr>
            <w:rFonts w:ascii="Times New Roman" w:hAnsi="Times New Roman" w:cs="Times New Roman"/>
            <w:sz w:val="24"/>
            <w:szCs w:val="24"/>
          </w:rPr>
          <w:fldChar w:fldCharType="begin"/>
        </w:r>
        <w:r w:rsidRPr="00AC6186">
          <w:rPr>
            <w:rFonts w:ascii="Times New Roman" w:hAnsi="Times New Roman" w:cs="Times New Roman"/>
            <w:sz w:val="24"/>
            <w:szCs w:val="24"/>
          </w:rPr>
          <w:instrText xml:space="preserve"> PAGE   \* MERGEFORMAT </w:instrText>
        </w:r>
        <w:r w:rsidR="005C7501" w:rsidRPr="00AC6186">
          <w:rPr>
            <w:rFonts w:ascii="Times New Roman" w:hAnsi="Times New Roman" w:cs="Times New Roman"/>
            <w:sz w:val="24"/>
            <w:szCs w:val="24"/>
          </w:rPr>
          <w:fldChar w:fldCharType="separate"/>
        </w:r>
        <w:r w:rsidR="00640E95">
          <w:rPr>
            <w:rFonts w:ascii="Times New Roman" w:hAnsi="Times New Roman" w:cs="Times New Roman"/>
            <w:noProof/>
            <w:sz w:val="24"/>
            <w:szCs w:val="24"/>
          </w:rPr>
          <w:t>16</w:t>
        </w:r>
        <w:r w:rsidR="005C7501" w:rsidRPr="00AC6186">
          <w:rPr>
            <w:rFonts w:ascii="Times New Roman" w:hAnsi="Times New Roman" w:cs="Times New Roman"/>
            <w:noProof/>
            <w:sz w:val="24"/>
            <w:szCs w:val="24"/>
          </w:rPr>
          <w:fldChar w:fldCharType="end"/>
        </w:r>
      </w:sdtContent>
    </w:sdt>
  </w:p>
  <w:p w:rsidR="00AC6186" w:rsidRPr="00AC6186" w:rsidRDefault="00B15BD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86" w:rsidRPr="00AC6186" w:rsidRDefault="00C9551B" w:rsidP="00AC6186">
    <w:pPr>
      <w:rPr>
        <w:rFonts w:ascii="Times New Roman" w:hAnsi="Times New Roman" w:cs="Times New Roman"/>
        <w:color w:val="222222"/>
        <w:sz w:val="24"/>
        <w:szCs w:val="24"/>
        <w:shd w:val="clear" w:color="auto" w:fill="FFFFFF"/>
      </w:rPr>
    </w:pPr>
    <w:r w:rsidRPr="00AC6186">
      <w:rPr>
        <w:rFonts w:ascii="Times New Roman" w:hAnsi="Times New Roman" w:cs="Times New Roman"/>
        <w:sz w:val="24"/>
        <w:szCs w:val="24"/>
      </w:rPr>
      <w:t xml:space="preserve">Running Head: </w:t>
    </w:r>
    <w:r w:rsidRPr="00AC6186">
      <w:rPr>
        <w:rFonts w:ascii="Times New Roman" w:hAnsi="Times New Roman" w:cs="Times New Roman"/>
        <w:color w:val="222222"/>
        <w:sz w:val="24"/>
        <w:szCs w:val="24"/>
        <w:shd w:val="clear" w:color="auto" w:fill="FFFFFF"/>
      </w:rPr>
      <w:t>QUESTIONS ON NUTRITION.</w:t>
    </w:r>
    <w:r w:rsidRPr="00AC6186">
      <w:rPr>
        <w:rFonts w:ascii="Times New Roman" w:hAnsi="Times New Roman" w:cs="Times New Roman"/>
        <w:color w:val="222222"/>
        <w:sz w:val="24"/>
        <w:szCs w:val="24"/>
        <w:shd w:val="clear" w:color="auto" w:fill="FFFFFF"/>
      </w:rPr>
      <w:tab/>
    </w:r>
    <w:r w:rsidRPr="00AC6186">
      <w:rPr>
        <w:rFonts w:ascii="Times New Roman" w:hAnsi="Times New Roman" w:cs="Times New Roman"/>
        <w:color w:val="222222"/>
        <w:sz w:val="24"/>
        <w:szCs w:val="24"/>
        <w:shd w:val="clear" w:color="auto" w:fill="FFFFFF"/>
      </w:rPr>
      <w:tab/>
    </w:r>
    <w:r w:rsidRPr="00AC6186">
      <w:rPr>
        <w:rFonts w:ascii="Times New Roman" w:hAnsi="Times New Roman" w:cs="Times New Roman"/>
        <w:color w:val="222222"/>
        <w:sz w:val="24"/>
        <w:szCs w:val="24"/>
        <w:shd w:val="clear" w:color="auto" w:fill="FFFFFF"/>
      </w:rPr>
      <w:tab/>
    </w:r>
    <w:r w:rsidRPr="00AC6186">
      <w:rPr>
        <w:rFonts w:ascii="Times New Roman" w:hAnsi="Times New Roman" w:cs="Times New Roman"/>
        <w:color w:val="222222"/>
        <w:sz w:val="24"/>
        <w:szCs w:val="24"/>
        <w:shd w:val="clear" w:color="auto" w:fill="FFFFFF"/>
      </w:rPr>
      <w:tab/>
    </w:r>
    <w:r w:rsidRPr="00AC6186">
      <w:rPr>
        <w:rFonts w:ascii="Times New Roman" w:hAnsi="Times New Roman" w:cs="Times New Roman"/>
        <w:color w:val="222222"/>
        <w:sz w:val="24"/>
        <w:szCs w:val="24"/>
        <w:shd w:val="clear" w:color="auto" w:fill="FFFFFF"/>
      </w:rPr>
      <w:tab/>
    </w:r>
    <w:r w:rsidRPr="00AC6186">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2041587979"/>
        <w:docPartObj>
          <w:docPartGallery w:val="Page Numbers (Top of Page)"/>
          <w:docPartUnique/>
        </w:docPartObj>
      </w:sdtPr>
      <w:sdtEndPr>
        <w:rPr>
          <w:noProof/>
        </w:rPr>
      </w:sdtEndPr>
      <w:sdtContent>
        <w:r w:rsidR="005C7501" w:rsidRPr="00AC6186">
          <w:rPr>
            <w:rFonts w:ascii="Times New Roman" w:hAnsi="Times New Roman" w:cs="Times New Roman"/>
            <w:sz w:val="24"/>
            <w:szCs w:val="24"/>
          </w:rPr>
          <w:fldChar w:fldCharType="begin"/>
        </w:r>
        <w:r w:rsidRPr="00AC6186">
          <w:rPr>
            <w:rFonts w:ascii="Times New Roman" w:hAnsi="Times New Roman" w:cs="Times New Roman"/>
            <w:sz w:val="24"/>
            <w:szCs w:val="24"/>
          </w:rPr>
          <w:instrText xml:space="preserve"> PAGE   \* MERGEFORMAT </w:instrText>
        </w:r>
        <w:r w:rsidR="005C7501" w:rsidRPr="00AC6186">
          <w:rPr>
            <w:rFonts w:ascii="Times New Roman" w:hAnsi="Times New Roman" w:cs="Times New Roman"/>
            <w:sz w:val="24"/>
            <w:szCs w:val="24"/>
          </w:rPr>
          <w:fldChar w:fldCharType="separate"/>
        </w:r>
        <w:r w:rsidR="00640E95">
          <w:rPr>
            <w:rFonts w:ascii="Times New Roman" w:hAnsi="Times New Roman" w:cs="Times New Roman"/>
            <w:noProof/>
            <w:sz w:val="24"/>
            <w:szCs w:val="24"/>
          </w:rPr>
          <w:t>1</w:t>
        </w:r>
        <w:r w:rsidR="005C7501" w:rsidRPr="00AC6186">
          <w:rPr>
            <w:rFonts w:ascii="Times New Roman" w:hAnsi="Times New Roman" w:cs="Times New Roman"/>
            <w:noProof/>
            <w:sz w:val="24"/>
            <w:szCs w:val="24"/>
          </w:rPr>
          <w:fldChar w:fldCharType="end"/>
        </w:r>
      </w:sdtContent>
    </w:sdt>
  </w:p>
  <w:p w:rsidR="00AC6186" w:rsidRPr="00AC6186" w:rsidRDefault="00B15BD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1C00"/>
    <w:rsid w:val="000D4E8B"/>
    <w:rsid w:val="002961E4"/>
    <w:rsid w:val="00381C00"/>
    <w:rsid w:val="004569C1"/>
    <w:rsid w:val="005C2FF4"/>
    <w:rsid w:val="005C7501"/>
    <w:rsid w:val="00640E95"/>
    <w:rsid w:val="00AD0893"/>
    <w:rsid w:val="00B15BD5"/>
    <w:rsid w:val="00C9551B"/>
    <w:rsid w:val="00F314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1C00"/>
    <w:rPr>
      <w:color w:val="0563C1" w:themeColor="hyperlink"/>
      <w:u w:val="single"/>
    </w:rPr>
  </w:style>
  <w:style w:type="paragraph" w:styleId="Header">
    <w:name w:val="header"/>
    <w:basedOn w:val="Normal"/>
    <w:link w:val="HeaderChar"/>
    <w:uiPriority w:val="99"/>
    <w:unhideWhenUsed/>
    <w:rsid w:val="00381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C00"/>
  </w:style>
  <w:style w:type="paragraph" w:styleId="BalloonText">
    <w:name w:val="Balloon Text"/>
    <w:basedOn w:val="Normal"/>
    <w:link w:val="BalloonTextChar"/>
    <w:uiPriority w:val="99"/>
    <w:semiHidden/>
    <w:unhideWhenUsed/>
    <w:rsid w:val="00AD08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8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diseases-conditions/heart-disease/multimedia/exercise-nutrition-myths-preventive-cardiology-video/vid-2013871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oogle.com/url?sa=i&amp;rct=j&amp;q=&amp;esrc=s&amp;source=images&amp;cd=&amp;cad=rja&amp;uact=8&amp;ved=2ahUKEwinxvDrmJLdAhUMdysKHTQVC8MQjRx6BAgBEAU&amp;url=https%3A%2F%2Fwww.google.com%2Furl%3Fsa%3Di%26rct%3Dj%26q%3D%26esrc%3Ds%26source%3Dimages%26cd%3D%26cad%3Drja%26uact%3D8%26ved%3D2ahUKEwinxvDrmJLdAhUMdysKHTQVC8MQjRx6BAgBEAU%26url%3Dhttps%253A%252F%252Fwww.theatlantic.com%252Fhealth%252Farchive%252F2016%252F06%252Fsupplements-make-tobacco-look-easy%252F488798%252F%26psig%3DAOvVaw1v1gsOouIvxMLmXFKCDdCr%26ust%3D1535629195236644&amp;psig=AOvVaw1v1gsOouIvxMLmXFKCDdCr&amp;ust=153562919523664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mayoclinic.org/diseases-conditions/heart-disease/multimedia/exercise-nutrition-myths-preventive-cardiology-video/vid-201387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3735</Words>
  <Characters>21290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2018-08-29T16:03:00Z</dcterms:created>
  <dcterms:modified xsi:type="dcterms:W3CDTF">2018-08-29T16:03:00Z</dcterms:modified>
</cp:coreProperties>
</file>